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1C" w:rsidRPr="005B4606" w:rsidRDefault="0065151C" w:rsidP="007B1828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1C" w:rsidRPr="00F44949" w:rsidRDefault="0065151C" w:rsidP="007B1828">
      <w:pPr>
        <w:pStyle w:val="Style1"/>
        <w:widowControl/>
        <w:spacing w:before="77"/>
        <w:ind w:right="1109"/>
        <w:rPr>
          <w:rStyle w:val="FontStyle16"/>
          <w:sz w:val="28"/>
          <w:szCs w:val="28"/>
        </w:rPr>
      </w:pPr>
      <w:r w:rsidRPr="00F44949">
        <w:rPr>
          <w:rStyle w:val="FontStyle16"/>
          <w:sz w:val="28"/>
          <w:szCs w:val="28"/>
        </w:rPr>
        <w:t xml:space="preserve">АДМИНИСТРАЦИЯ </w:t>
      </w:r>
      <w:r w:rsidR="007B1828">
        <w:rPr>
          <w:rStyle w:val="FontStyle16"/>
          <w:sz w:val="28"/>
          <w:szCs w:val="28"/>
        </w:rPr>
        <w:t xml:space="preserve">МУНИЦИПАЛЬНОГО </w:t>
      </w:r>
      <w:r w:rsidRPr="00F44949">
        <w:rPr>
          <w:rStyle w:val="FontStyle16"/>
          <w:sz w:val="28"/>
          <w:szCs w:val="28"/>
        </w:rPr>
        <w:t>ОБРАЗОВАНИЯ «ХОЛМ-ЖИРКОВСКИЙ РАЙОН» СМОЛЕНСКОЙ ОБЛАСТИ</w:t>
      </w:r>
    </w:p>
    <w:p w:rsidR="0065151C" w:rsidRDefault="0065151C" w:rsidP="007B1828">
      <w:pPr>
        <w:pStyle w:val="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7AF4">
        <w:rPr>
          <w:rFonts w:ascii="Times New Roman" w:hAnsi="Times New Roman"/>
          <w:sz w:val="28"/>
          <w:szCs w:val="28"/>
        </w:rPr>
        <w:t>П</w:t>
      </w:r>
      <w:proofErr w:type="gramEnd"/>
      <w:r w:rsidRPr="00D97AF4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65151C" w:rsidRDefault="0065151C" w:rsidP="0065151C">
      <w:pPr>
        <w:pStyle w:val="2"/>
        <w:numPr>
          <w:ilvl w:val="1"/>
          <w:numId w:val="1"/>
        </w:numPr>
        <w:ind w:left="-360" w:firstLine="360"/>
        <w:jc w:val="center"/>
      </w:pPr>
    </w:p>
    <w:p w:rsidR="0065151C" w:rsidRDefault="0065151C" w:rsidP="0065151C">
      <w:pPr>
        <w:jc w:val="right"/>
        <w:rPr>
          <w:sz w:val="36"/>
        </w:rPr>
      </w:pPr>
      <w:r>
        <w:t xml:space="preserve">                                         </w:t>
      </w:r>
    </w:p>
    <w:p w:rsidR="0065151C" w:rsidRDefault="0065151C" w:rsidP="0065151C">
      <w:pPr>
        <w:rPr>
          <w:sz w:val="28"/>
        </w:rPr>
      </w:pPr>
      <w:r>
        <w:rPr>
          <w:sz w:val="28"/>
        </w:rPr>
        <w:t xml:space="preserve">от </w:t>
      </w:r>
      <w:r w:rsidR="00ED2EF3">
        <w:rPr>
          <w:sz w:val="28"/>
        </w:rPr>
        <w:t>1</w:t>
      </w:r>
      <w:r w:rsidR="0084189C">
        <w:rPr>
          <w:sz w:val="28"/>
        </w:rPr>
        <w:t>6</w:t>
      </w:r>
      <w:r>
        <w:rPr>
          <w:sz w:val="28"/>
        </w:rPr>
        <w:t>.</w:t>
      </w:r>
      <w:r w:rsidR="00B1222F">
        <w:rPr>
          <w:sz w:val="28"/>
        </w:rPr>
        <w:t>11.201</w:t>
      </w:r>
      <w:r w:rsidR="00ED2EF3">
        <w:rPr>
          <w:sz w:val="28"/>
        </w:rPr>
        <w:t>7</w:t>
      </w:r>
      <w:r w:rsidR="00B1222F">
        <w:rPr>
          <w:sz w:val="28"/>
        </w:rPr>
        <w:t xml:space="preserve">  №</w:t>
      </w:r>
      <w:r w:rsidR="0084189C">
        <w:rPr>
          <w:sz w:val="28"/>
        </w:rPr>
        <w:t>588</w:t>
      </w:r>
      <w:r w:rsidR="00B1222F">
        <w:rPr>
          <w:sz w:val="28"/>
        </w:rPr>
        <w:t xml:space="preserve">              </w:t>
      </w:r>
    </w:p>
    <w:p w:rsidR="0065151C" w:rsidRDefault="0065151C" w:rsidP="0065151C">
      <w:pPr>
        <w:rPr>
          <w:sz w:val="28"/>
        </w:rPr>
      </w:pPr>
      <w:r>
        <w:rPr>
          <w:sz w:val="28"/>
        </w:rPr>
        <w:t xml:space="preserve">                               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5151C" w:rsidTr="00E004D5">
        <w:tc>
          <w:tcPr>
            <w:tcW w:w="5210" w:type="dxa"/>
          </w:tcPr>
          <w:p w:rsidR="0065151C" w:rsidRDefault="0065151C" w:rsidP="00E004D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 утверждении основных направлений</w:t>
            </w:r>
          </w:p>
          <w:p w:rsidR="0065151C" w:rsidRDefault="0065151C" w:rsidP="00E004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  <w:r w:rsidR="00ED2EF3">
              <w:rPr>
                <w:sz w:val="28"/>
              </w:rPr>
              <w:t xml:space="preserve">и налоговой </w:t>
            </w:r>
            <w:r>
              <w:rPr>
                <w:sz w:val="28"/>
              </w:rPr>
              <w:t>политики муниципального  образования «Холм-Жирковский район»  Смоленской области на  201</w:t>
            </w:r>
            <w:r w:rsidR="00ED2EF3">
              <w:rPr>
                <w:sz w:val="28"/>
              </w:rPr>
              <w:t>8</w:t>
            </w:r>
            <w:r>
              <w:rPr>
                <w:sz w:val="28"/>
              </w:rPr>
              <w:t xml:space="preserve"> год и на плановый период 201</w:t>
            </w:r>
            <w:r w:rsidR="00ED2EF3">
              <w:rPr>
                <w:sz w:val="28"/>
              </w:rPr>
              <w:t>9 и 2020</w:t>
            </w:r>
            <w:r>
              <w:rPr>
                <w:sz w:val="28"/>
              </w:rPr>
              <w:t xml:space="preserve"> годов</w:t>
            </w:r>
          </w:p>
          <w:p w:rsidR="0065151C" w:rsidRDefault="0065151C" w:rsidP="00E004D5">
            <w:pPr>
              <w:rPr>
                <w:sz w:val="28"/>
              </w:rPr>
            </w:pPr>
          </w:p>
        </w:tc>
        <w:tc>
          <w:tcPr>
            <w:tcW w:w="5211" w:type="dxa"/>
          </w:tcPr>
          <w:p w:rsidR="0065151C" w:rsidRDefault="0065151C" w:rsidP="00E004D5">
            <w:pPr>
              <w:rPr>
                <w:sz w:val="28"/>
              </w:rPr>
            </w:pPr>
          </w:p>
        </w:tc>
      </w:tr>
    </w:tbl>
    <w:p w:rsidR="0065151C" w:rsidRDefault="0065151C" w:rsidP="0065151C">
      <w:pPr>
        <w:rPr>
          <w:sz w:val="28"/>
        </w:rPr>
      </w:pPr>
    </w:p>
    <w:p w:rsidR="0065151C" w:rsidRDefault="0065151C" w:rsidP="0065151C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статьями   172 и 184.2 Бюджетного кодекса  Российской Федерации, Администрация муниципального образования «Холм-Жирковский район» Смоленской области</w:t>
      </w:r>
    </w:p>
    <w:p w:rsidR="0065151C" w:rsidRDefault="0065151C" w:rsidP="0065151C">
      <w:pPr>
        <w:jc w:val="both"/>
        <w:rPr>
          <w:sz w:val="28"/>
        </w:rPr>
      </w:pPr>
    </w:p>
    <w:p w:rsidR="0065151C" w:rsidRDefault="0065151C" w:rsidP="0065151C">
      <w:pPr>
        <w:ind w:firstLine="708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65151C" w:rsidRDefault="0065151C" w:rsidP="0065151C">
      <w:pPr>
        <w:jc w:val="both"/>
        <w:rPr>
          <w:sz w:val="28"/>
        </w:rPr>
      </w:pPr>
    </w:p>
    <w:p w:rsidR="0065151C" w:rsidRDefault="0065151C" w:rsidP="0065151C">
      <w:pPr>
        <w:pStyle w:val="a3"/>
        <w:ind w:firstLine="708"/>
        <w:jc w:val="both"/>
      </w:pPr>
      <w:r>
        <w:t xml:space="preserve">1. Утвердить основные направления бюджетной </w:t>
      </w:r>
      <w:r w:rsidR="00ED2EF3">
        <w:t xml:space="preserve">и налоговой </w:t>
      </w:r>
      <w:r>
        <w:t>политики муниципального образования «Холм-Жирковский район» Смоленской области  на 201</w:t>
      </w:r>
      <w:r w:rsidR="00ED2EF3">
        <w:t>8</w:t>
      </w:r>
      <w:r>
        <w:t xml:space="preserve"> год  и на плановый период 201</w:t>
      </w:r>
      <w:r w:rsidR="00ED2EF3">
        <w:t>9 и 2020</w:t>
      </w:r>
      <w:r>
        <w:t xml:space="preserve"> годов согласно  приложению к настоящему постановлению.</w:t>
      </w:r>
    </w:p>
    <w:p w:rsidR="0065151C" w:rsidRDefault="0065151C" w:rsidP="0065151C">
      <w:pPr>
        <w:pStyle w:val="a3"/>
        <w:ind w:firstLine="708"/>
        <w:jc w:val="both"/>
      </w:pPr>
      <w:r>
        <w:t>2. Настоящее  постановление применяется  к правоотношениям, возникшим</w:t>
      </w:r>
    </w:p>
    <w:p w:rsidR="0065151C" w:rsidRDefault="0065151C" w:rsidP="0065151C">
      <w:pPr>
        <w:pStyle w:val="a3"/>
        <w:jc w:val="both"/>
      </w:pPr>
      <w:r>
        <w:t>с 1 января 201</w:t>
      </w:r>
      <w:r w:rsidR="00ED2EF3">
        <w:t>8</w:t>
      </w:r>
      <w:r>
        <w:t xml:space="preserve"> года.</w:t>
      </w:r>
    </w:p>
    <w:p w:rsidR="0065151C" w:rsidRDefault="0065151C" w:rsidP="0065151C">
      <w:pPr>
        <w:pStyle w:val="a3"/>
        <w:ind w:firstLine="708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оставляю  за   собой.</w:t>
      </w:r>
    </w:p>
    <w:p w:rsidR="0065151C" w:rsidRDefault="0065151C" w:rsidP="0065151C">
      <w:pPr>
        <w:pStyle w:val="a3"/>
        <w:jc w:val="both"/>
      </w:pPr>
    </w:p>
    <w:p w:rsidR="0065151C" w:rsidRDefault="0065151C" w:rsidP="0065151C">
      <w:pPr>
        <w:pStyle w:val="a3"/>
        <w:jc w:val="both"/>
      </w:pPr>
    </w:p>
    <w:p w:rsidR="0065151C" w:rsidRDefault="0065151C" w:rsidP="0065151C">
      <w:pPr>
        <w:pStyle w:val="a3"/>
        <w:jc w:val="both"/>
      </w:pPr>
    </w:p>
    <w:p w:rsidR="0065151C" w:rsidRDefault="0065151C" w:rsidP="0065151C">
      <w:pPr>
        <w:pStyle w:val="a3"/>
        <w:jc w:val="both"/>
      </w:pPr>
    </w:p>
    <w:p w:rsidR="0065151C" w:rsidRDefault="0065151C" w:rsidP="0065151C">
      <w:pPr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65151C" w:rsidRDefault="0065151C" w:rsidP="0065151C">
      <w:pPr>
        <w:rPr>
          <w:sz w:val="28"/>
        </w:rPr>
      </w:pPr>
      <w:r>
        <w:rPr>
          <w:sz w:val="28"/>
        </w:rPr>
        <w:t xml:space="preserve"> «Холм-Жирковский район» </w:t>
      </w:r>
    </w:p>
    <w:p w:rsidR="0065151C" w:rsidRDefault="0065151C" w:rsidP="0065151C">
      <w:pPr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     </w:t>
      </w:r>
      <w:r w:rsidRPr="00586CA8">
        <w:rPr>
          <w:b/>
          <w:sz w:val="28"/>
        </w:rPr>
        <w:t>О.П.Макаров</w:t>
      </w:r>
      <w:r>
        <w:rPr>
          <w:sz w:val="28"/>
        </w:rPr>
        <w:t xml:space="preserve">     </w:t>
      </w:r>
    </w:p>
    <w:p w:rsidR="0065151C" w:rsidRDefault="0065151C" w:rsidP="0065151C">
      <w:pPr>
        <w:rPr>
          <w:sz w:val="28"/>
        </w:rPr>
      </w:pPr>
    </w:p>
    <w:p w:rsidR="0065151C" w:rsidRDefault="0065151C" w:rsidP="0065151C">
      <w:pPr>
        <w:rPr>
          <w:sz w:val="28"/>
        </w:rPr>
      </w:pPr>
      <w:r w:rsidRPr="00235EB2">
        <w:rPr>
          <w:rStyle w:val="af"/>
          <w:b w:val="0"/>
          <w:bCs/>
        </w:rPr>
        <w:br/>
      </w:r>
    </w:p>
    <w:p w:rsidR="009E7227" w:rsidRDefault="009E7227" w:rsidP="0065151C">
      <w:pPr>
        <w:rPr>
          <w:sz w:val="28"/>
        </w:rPr>
      </w:pPr>
    </w:p>
    <w:p w:rsidR="009E7227" w:rsidRDefault="009E7227" w:rsidP="0065151C">
      <w:pPr>
        <w:rPr>
          <w:sz w:val="28"/>
        </w:rPr>
      </w:pPr>
    </w:p>
    <w:p w:rsidR="009E7227" w:rsidRDefault="009E7227" w:rsidP="0065151C">
      <w:pPr>
        <w:rPr>
          <w:sz w:val="28"/>
        </w:rPr>
      </w:pPr>
    </w:p>
    <w:p w:rsidR="009E7227" w:rsidRDefault="009E7227" w:rsidP="0065151C">
      <w:pPr>
        <w:rPr>
          <w:sz w:val="28"/>
        </w:rPr>
      </w:pPr>
    </w:p>
    <w:p w:rsidR="0065151C" w:rsidRDefault="0065151C" w:rsidP="0065151C">
      <w:pPr>
        <w:rPr>
          <w:sz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533D76" w:rsidRDefault="00533D76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84189C" w:rsidRDefault="0084189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5151C" w:rsidTr="0065151C">
        <w:tc>
          <w:tcPr>
            <w:tcW w:w="5210" w:type="dxa"/>
          </w:tcPr>
          <w:p w:rsidR="0065151C" w:rsidRDefault="0065151C" w:rsidP="00052E56">
            <w:pPr>
              <w:tabs>
                <w:tab w:val="left" w:pos="980"/>
              </w:tabs>
              <w:ind w:right="30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65151C" w:rsidRPr="00B1222F" w:rsidRDefault="0065151C" w:rsidP="0065151C">
            <w:pPr>
              <w:tabs>
                <w:tab w:val="left" w:pos="980"/>
              </w:tabs>
              <w:ind w:right="302"/>
              <w:jc w:val="right"/>
              <w:rPr>
                <w:rStyle w:val="af"/>
                <w:b w:val="0"/>
                <w:bCs/>
                <w:color w:val="auto"/>
              </w:rPr>
            </w:pPr>
            <w:r w:rsidRPr="00B1222F">
              <w:rPr>
                <w:rStyle w:val="af"/>
                <w:b w:val="0"/>
                <w:bCs/>
                <w:color w:val="auto"/>
              </w:rPr>
              <w:t>Приложение N 1</w:t>
            </w:r>
            <w:r w:rsidRPr="00B1222F">
              <w:rPr>
                <w:rStyle w:val="af"/>
                <w:b w:val="0"/>
                <w:bCs/>
                <w:color w:val="auto"/>
              </w:rPr>
              <w:br/>
              <w:t xml:space="preserve">к </w:t>
            </w:r>
            <w:hyperlink w:anchor="sub_0" w:history="1">
              <w:r w:rsidRPr="00B1222F">
                <w:rPr>
                  <w:rStyle w:val="af0"/>
                  <w:b w:val="0"/>
                  <w:color w:val="auto"/>
                </w:rPr>
                <w:t>постановлению</w:t>
              </w:r>
            </w:hyperlink>
            <w:r w:rsidRPr="00B1222F">
              <w:rPr>
                <w:rStyle w:val="af"/>
                <w:b w:val="0"/>
                <w:bCs/>
                <w:color w:val="auto"/>
              </w:rPr>
              <w:t xml:space="preserve"> Администрации</w:t>
            </w:r>
            <w:r w:rsidRPr="00B1222F">
              <w:rPr>
                <w:rStyle w:val="af"/>
                <w:b w:val="0"/>
                <w:bCs/>
                <w:color w:val="auto"/>
              </w:rPr>
              <w:br/>
              <w:t>муниципального образования</w:t>
            </w:r>
            <w:r w:rsidRPr="00B1222F">
              <w:rPr>
                <w:rStyle w:val="af"/>
                <w:b w:val="0"/>
                <w:bCs/>
                <w:color w:val="auto"/>
              </w:rPr>
              <w:br/>
              <w:t>"Холм-Жирковский район"</w:t>
            </w:r>
            <w:r w:rsidRPr="00B1222F">
              <w:rPr>
                <w:rStyle w:val="af"/>
                <w:b w:val="0"/>
                <w:bCs/>
                <w:color w:val="auto"/>
              </w:rPr>
              <w:br/>
              <w:t>Смоленской области</w:t>
            </w:r>
          </w:p>
          <w:p w:rsidR="0065151C" w:rsidRDefault="0065151C" w:rsidP="0084189C">
            <w:pPr>
              <w:tabs>
                <w:tab w:val="left" w:pos="980"/>
              </w:tabs>
              <w:ind w:right="302"/>
              <w:jc w:val="right"/>
              <w:rPr>
                <w:b/>
                <w:sz w:val="28"/>
                <w:szCs w:val="28"/>
              </w:rPr>
            </w:pPr>
            <w:r w:rsidRPr="00B1222F">
              <w:rPr>
                <w:rStyle w:val="af"/>
                <w:b w:val="0"/>
                <w:bCs/>
                <w:color w:val="auto"/>
              </w:rPr>
              <w:t xml:space="preserve">от </w:t>
            </w:r>
            <w:r w:rsidR="00ED2EF3">
              <w:rPr>
                <w:rStyle w:val="af"/>
                <w:b w:val="0"/>
                <w:bCs/>
                <w:color w:val="auto"/>
              </w:rPr>
              <w:t>1</w:t>
            </w:r>
            <w:r w:rsidR="0084189C">
              <w:rPr>
                <w:rStyle w:val="af"/>
                <w:b w:val="0"/>
                <w:bCs/>
                <w:color w:val="auto"/>
              </w:rPr>
              <w:t>6</w:t>
            </w:r>
            <w:r w:rsidR="00B1222F">
              <w:rPr>
                <w:rStyle w:val="af"/>
                <w:b w:val="0"/>
                <w:bCs/>
                <w:color w:val="auto"/>
              </w:rPr>
              <w:t xml:space="preserve">ноября </w:t>
            </w:r>
            <w:r w:rsidR="00ED2EF3">
              <w:rPr>
                <w:rStyle w:val="af"/>
                <w:b w:val="0"/>
                <w:bCs/>
                <w:color w:val="auto"/>
              </w:rPr>
              <w:t>2017</w:t>
            </w:r>
            <w:r w:rsidRPr="00B1222F">
              <w:rPr>
                <w:rStyle w:val="af"/>
                <w:b w:val="0"/>
                <w:bCs/>
                <w:color w:val="auto"/>
              </w:rPr>
              <w:t xml:space="preserve"> г.</w:t>
            </w:r>
            <w:r w:rsidR="00B1222F" w:rsidRPr="00B1222F">
              <w:rPr>
                <w:rStyle w:val="af"/>
                <w:b w:val="0"/>
                <w:bCs/>
                <w:color w:val="auto"/>
              </w:rPr>
              <w:t>№</w:t>
            </w:r>
            <w:r w:rsidR="0084189C">
              <w:rPr>
                <w:rStyle w:val="af"/>
                <w:b w:val="0"/>
                <w:bCs/>
                <w:color w:val="auto"/>
              </w:rPr>
              <w:t>588</w:t>
            </w:r>
            <w:r w:rsidR="00ED2EF3" w:rsidRPr="00B1222F">
              <w:rPr>
                <w:rStyle w:val="af"/>
                <w:b w:val="0"/>
                <w:bCs/>
                <w:color w:val="auto"/>
              </w:rPr>
              <w:t xml:space="preserve"> </w:t>
            </w:r>
            <w:r w:rsidRPr="00B1222F">
              <w:rPr>
                <w:rStyle w:val="af"/>
                <w:b w:val="0"/>
                <w:bCs/>
                <w:color w:val="auto"/>
              </w:rPr>
              <w:br/>
            </w:r>
          </w:p>
        </w:tc>
      </w:tr>
    </w:tbl>
    <w:p w:rsidR="0065151C" w:rsidRDefault="0065151C" w:rsidP="00052E56">
      <w:pPr>
        <w:tabs>
          <w:tab w:val="left" w:pos="980"/>
        </w:tabs>
        <w:ind w:right="302"/>
        <w:jc w:val="center"/>
        <w:rPr>
          <w:b/>
          <w:sz w:val="28"/>
          <w:szCs w:val="28"/>
        </w:rPr>
      </w:pPr>
    </w:p>
    <w:p w:rsidR="00ED2EF3" w:rsidRPr="001D505B" w:rsidRDefault="00ED2EF3" w:rsidP="00ED2EF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>ОСНОВНЫЕ НАПРАВЛЕНИЯ</w:t>
      </w:r>
    </w:p>
    <w:p w:rsidR="00ED2EF3" w:rsidRDefault="00ED2EF3" w:rsidP="00ED2EF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ED2EF3" w:rsidRPr="001D505B" w:rsidRDefault="00ED2EF3" w:rsidP="00ED2EF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«Холм-Жирковский район» Смоленской</w:t>
      </w:r>
      <w:r w:rsidRPr="001D505B">
        <w:rPr>
          <w:b/>
          <w:bCs/>
          <w:color w:val="000000"/>
          <w:sz w:val="28"/>
          <w:szCs w:val="28"/>
        </w:rPr>
        <w:t xml:space="preserve"> области</w:t>
      </w:r>
    </w:p>
    <w:p w:rsidR="00ED2EF3" w:rsidRPr="001D505B" w:rsidRDefault="00ED2EF3" w:rsidP="00ED2EF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>на 2018 год и на плановый период 2019 и 2020 годов</w:t>
      </w:r>
    </w:p>
    <w:p w:rsidR="00ED2EF3" w:rsidRPr="001D505B" w:rsidRDefault="00ED2EF3" w:rsidP="00ED2EF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</w:p>
    <w:p w:rsidR="00ED2EF3" w:rsidRPr="00E300D3" w:rsidRDefault="00ED2EF3" w:rsidP="00ED2EF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ED2EF3" w:rsidRPr="00144FDD" w:rsidRDefault="00ED2EF3" w:rsidP="00ED2E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EF3" w:rsidRPr="00144FDD" w:rsidRDefault="00ED2EF3" w:rsidP="00ED2EF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 w:rsidRPr="00F774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на 2018 год и плановый период 2019 и 2020 годов 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</w:t>
      </w:r>
      <w:r w:rsidRPr="00F774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>области на 2018 год и плановый период 2019 и 2020 годов.</w:t>
      </w:r>
      <w:proofErr w:type="gramEnd"/>
    </w:p>
    <w:p w:rsidR="00ED2EF3" w:rsidRPr="00144FDD" w:rsidRDefault="00ED2EF3" w:rsidP="00ED2EF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налоговой политики </w:t>
      </w:r>
      <w:r w:rsidRPr="00F774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на 2018 год и плановый период 2019 и 2020 годов  были учтены положения Указов Президента Российской Федерации от 7 мая 2012 года, поручений Президента Российской Федерации и Председателя Правительства Российской Федерации, основные параметры прогноза социально-экономического развития </w:t>
      </w:r>
      <w:r w:rsidRPr="00F774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>области на 2018 год и</w:t>
      </w:r>
      <w:proofErr w:type="gramEnd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период 2019 и 2020 годов.</w:t>
      </w:r>
    </w:p>
    <w:p w:rsidR="00ED2EF3" w:rsidRPr="001D505B" w:rsidRDefault="00ED2EF3" w:rsidP="00ED2E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2EF3" w:rsidRPr="003113D0" w:rsidRDefault="00ED2EF3" w:rsidP="00ED2EF3">
      <w:pPr>
        <w:pStyle w:val="a9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3113D0">
        <w:rPr>
          <w:b/>
          <w:sz w:val="28"/>
          <w:szCs w:val="28"/>
        </w:rPr>
        <w:t>II. Основные направления налоговой политики</w:t>
      </w:r>
    </w:p>
    <w:p w:rsidR="00ED2EF3" w:rsidRPr="00F77443" w:rsidRDefault="00ED2EF3" w:rsidP="00ED2EF3">
      <w:pPr>
        <w:pStyle w:val="a9"/>
        <w:autoSpaceDE w:val="0"/>
        <w:autoSpaceDN w:val="0"/>
        <w:adjustRightInd w:val="0"/>
        <w:ind w:left="709"/>
        <w:jc w:val="center"/>
        <w:rPr>
          <w:color w:val="FF0000"/>
          <w:sz w:val="28"/>
          <w:szCs w:val="28"/>
        </w:rPr>
      </w:pPr>
    </w:p>
    <w:p w:rsidR="00ED2EF3" w:rsidRPr="009A054F" w:rsidRDefault="00ED2EF3" w:rsidP="00ED2E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54F">
        <w:rPr>
          <w:rFonts w:ascii="Times New Roman" w:hAnsi="Times New Roman" w:cs="Times New Roman"/>
          <w:sz w:val="28"/>
          <w:szCs w:val="28"/>
        </w:rPr>
        <w:t>Основными целями налоговой политики муниципального образования «Холм-Жирковский район» Смоленской области на 2018 год и на плановый период 2019 и 2020 годов является сохранение бюджетной устойчивости,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  <w:proofErr w:type="gramEnd"/>
    </w:p>
    <w:p w:rsidR="00ED2EF3" w:rsidRPr="009A054F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54F">
        <w:rPr>
          <w:sz w:val="28"/>
          <w:szCs w:val="28"/>
        </w:rPr>
        <w:t>Основными направлениями налоговой политики будут являться:</w:t>
      </w:r>
    </w:p>
    <w:p w:rsidR="00ED2EF3" w:rsidRPr="009A054F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54F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районе, легализация «теневой» заработной платы, проведение мероприятий по сокращению задолженности по налогу на доходы физических лиц;</w:t>
      </w:r>
    </w:p>
    <w:p w:rsidR="00ED2EF3" w:rsidRPr="009A054F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54F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ED2EF3" w:rsidRPr="009A054F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54F">
        <w:rPr>
          <w:sz w:val="28"/>
          <w:szCs w:val="28"/>
        </w:rPr>
        <w:lastRenderedPageBreak/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ED2EF3" w:rsidRPr="009A054F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54F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ED2EF3" w:rsidRPr="009A054F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54F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ED2EF3" w:rsidRPr="009A054F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54F">
        <w:rPr>
          <w:sz w:val="28"/>
          <w:szCs w:val="28"/>
        </w:rPr>
        <w:t>В целях мобилизации  доходов консолидированного бюджета муниципального образования «Холм-Жирковский район»  Смоленской области планируется проведение следующих мероприятий: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62B8">
        <w:rPr>
          <w:rFonts w:eastAsia="Calibri"/>
          <w:sz w:val="28"/>
          <w:szCs w:val="20"/>
          <w:lang w:eastAsia="en-US"/>
        </w:rPr>
        <w:t xml:space="preserve">- установление </w:t>
      </w:r>
      <w:r w:rsidRPr="007062B8">
        <w:rPr>
          <w:sz w:val="28"/>
          <w:szCs w:val="28"/>
        </w:rPr>
        <w:t xml:space="preserve">с 1 января 2019 года </w:t>
      </w:r>
      <w:r w:rsidRPr="007062B8">
        <w:rPr>
          <w:rFonts w:eastAsia="Calibri"/>
          <w:sz w:val="28"/>
          <w:szCs w:val="20"/>
          <w:lang w:eastAsia="en-US"/>
        </w:rPr>
        <w:t xml:space="preserve">ставки налога на имущество от кадастровой стоимости </w:t>
      </w:r>
      <w:r w:rsidRPr="007062B8">
        <w:rPr>
          <w:sz w:val="28"/>
          <w:szCs w:val="28"/>
        </w:rPr>
        <w:t>в отношении административно-деловых центров и торговых центров (комплексов) общей площадью свыше 500 квадратных метров и помещений в них, если соответствующие здания (строения, сооружения), расположены на земельных участках, один из видов разрешенного использования которых предусматривает размещение офисных зданий делового, административного и коммерческого назначения, торговых объектов, объектов общественного питания</w:t>
      </w:r>
      <w:proofErr w:type="gramEnd"/>
      <w:r w:rsidRPr="007062B8">
        <w:rPr>
          <w:sz w:val="28"/>
          <w:szCs w:val="28"/>
        </w:rPr>
        <w:t xml:space="preserve"> и (или) бытового обслуживания;</w:t>
      </w:r>
    </w:p>
    <w:p w:rsidR="00ED2EF3" w:rsidRPr="007062B8" w:rsidRDefault="00ED2EF3" w:rsidP="00ED2EF3">
      <w:pPr>
        <w:ind w:firstLine="709"/>
        <w:jc w:val="both"/>
        <w:rPr>
          <w:sz w:val="28"/>
          <w:szCs w:val="28"/>
        </w:rPr>
      </w:pPr>
      <w:proofErr w:type="gramStart"/>
      <w:r w:rsidRPr="007062B8">
        <w:rPr>
          <w:sz w:val="28"/>
          <w:szCs w:val="28"/>
        </w:rPr>
        <w:t>- в случае законодательного закрепления 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собственности на которые,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  <w:proofErr w:type="gramEnd"/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 xml:space="preserve">На устойчивость доходов бюджетной системы района существенное влияние оказывают решения по установлению налоговых льгот по  местным налогам, доходы от которых поступают в местные бюджеты. 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 xml:space="preserve">Оценка эффективности действующих налоговых расходов является  составной частью бюджетного процесса. 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>В этой связи предлагается строить налоговую политику  муниципального образования «Холм-Жирковский район» Смоленской области в среднесрочной перспективе, исходя из следующих предпосылок: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>- оценка эффективности налоговых льгот на предмет целесообразности;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применения.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 xml:space="preserve"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7062B8">
        <w:rPr>
          <w:sz w:val="28"/>
          <w:szCs w:val="28"/>
        </w:rPr>
        <w:t>администрируемых</w:t>
      </w:r>
      <w:proofErr w:type="spellEnd"/>
      <w:r w:rsidRPr="007062B8">
        <w:rPr>
          <w:sz w:val="28"/>
          <w:szCs w:val="28"/>
        </w:rPr>
        <w:t xml:space="preserve"> платежей;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lastRenderedPageBreak/>
        <w:t xml:space="preserve"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</w:t>
      </w:r>
      <w:proofErr w:type="gramStart"/>
      <w:r w:rsidRPr="007062B8">
        <w:rPr>
          <w:sz w:val="28"/>
          <w:szCs w:val="28"/>
        </w:rPr>
        <w:t>районный</w:t>
      </w:r>
      <w:proofErr w:type="gramEnd"/>
      <w:r w:rsidRPr="007062B8">
        <w:rPr>
          <w:sz w:val="28"/>
          <w:szCs w:val="28"/>
        </w:rPr>
        <w:t xml:space="preserve"> и местные бюджеты;</w:t>
      </w:r>
    </w:p>
    <w:p w:rsidR="00ED2EF3" w:rsidRPr="007062B8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>- продолжение работы 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ED2EF3" w:rsidRPr="007062B8" w:rsidRDefault="00ED2EF3" w:rsidP="00ED2EF3">
      <w:pPr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 xml:space="preserve">- проведение анализа по оптимизации ставок и налоговых льгот, установленных решениями представительных </w:t>
      </w:r>
      <w:proofErr w:type="gramStart"/>
      <w:r w:rsidRPr="007062B8">
        <w:rPr>
          <w:sz w:val="28"/>
          <w:szCs w:val="28"/>
        </w:rPr>
        <w:t>органов местного самоуправления муниципальных образований Холм-Жирковского района Смоленской области</w:t>
      </w:r>
      <w:proofErr w:type="gramEnd"/>
      <w:r w:rsidRPr="007062B8">
        <w:rPr>
          <w:sz w:val="28"/>
          <w:szCs w:val="28"/>
        </w:rPr>
        <w:t>;</w:t>
      </w:r>
    </w:p>
    <w:p w:rsidR="00ED2EF3" w:rsidRPr="007062B8" w:rsidRDefault="00ED2EF3" w:rsidP="00ED2EF3">
      <w:pPr>
        <w:ind w:firstLine="709"/>
        <w:jc w:val="both"/>
        <w:rPr>
          <w:sz w:val="28"/>
          <w:szCs w:val="28"/>
        </w:rPr>
      </w:pPr>
      <w:r w:rsidRPr="007062B8">
        <w:rPr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Холм-Жирковского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ED2EF3" w:rsidRPr="007062B8" w:rsidRDefault="00ED2EF3" w:rsidP="00ED2EF3">
      <w:pPr>
        <w:ind w:firstLine="709"/>
        <w:jc w:val="both"/>
        <w:rPr>
          <w:sz w:val="28"/>
          <w:szCs w:val="28"/>
        </w:rPr>
      </w:pPr>
      <w:r w:rsidRPr="007062B8">
        <w:rPr>
          <w:sz w:val="28"/>
          <w:szCs w:val="20"/>
        </w:rPr>
        <w:t xml:space="preserve">Для увеличения </w:t>
      </w:r>
      <w:proofErr w:type="gramStart"/>
      <w:r w:rsidRPr="007062B8">
        <w:rPr>
          <w:sz w:val="28"/>
          <w:szCs w:val="20"/>
        </w:rPr>
        <w:t>доходов бюджетов муниципальных образований  Холм-Жирковского района Смоленской области</w:t>
      </w:r>
      <w:proofErr w:type="gramEnd"/>
      <w:r w:rsidRPr="007062B8">
        <w:rPr>
          <w:sz w:val="28"/>
          <w:szCs w:val="20"/>
        </w:rPr>
        <w:t xml:space="preserve"> в</w:t>
      </w:r>
      <w:r w:rsidRPr="007062B8">
        <w:rPr>
          <w:sz w:val="28"/>
          <w:szCs w:val="28"/>
        </w:rPr>
        <w:t xml:space="preserve"> целях повышения собираемости налога на имущество физических лиц будет продолжена работа по следующим направлениям:</w:t>
      </w:r>
    </w:p>
    <w:p w:rsidR="00ED2EF3" w:rsidRPr="00A01A9C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9C">
        <w:rPr>
          <w:sz w:val="28"/>
          <w:szCs w:val="28"/>
        </w:rPr>
        <w:t>- переход, начиная с 2019 года,  к определению налоговой базы в отношении этих объектов налогообложения, исходя из их кадастровой стоимости;</w:t>
      </w:r>
    </w:p>
    <w:p w:rsidR="00ED2EF3" w:rsidRPr="00A01A9C" w:rsidRDefault="00ED2EF3" w:rsidP="00ED2EF3">
      <w:pPr>
        <w:ind w:firstLine="709"/>
        <w:jc w:val="both"/>
        <w:rPr>
          <w:sz w:val="28"/>
          <w:szCs w:val="20"/>
        </w:rPr>
      </w:pPr>
      <w:r w:rsidRPr="00A01A9C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налогу;</w:t>
      </w:r>
    </w:p>
    <w:p w:rsidR="00ED2EF3" w:rsidRPr="00A01A9C" w:rsidRDefault="00ED2EF3" w:rsidP="00ED2E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1A9C">
        <w:rPr>
          <w:rFonts w:eastAsia="Calibri"/>
          <w:sz w:val="28"/>
          <w:szCs w:val="28"/>
          <w:lang w:eastAsia="en-US"/>
        </w:rPr>
        <w:t>В целях наполняемости бюджетов муниципальных образований Холм-Жирковского района Смоленской области будет продолжена работа по доведению до максимальных размеров, установленных Налоговым кодексом Российской Федерации ставок земельного налога в отношении земельных участков, предназначенных для размещения домов индивидуальной жилой застройки, объектов торговли, общественного питания и бытового обслуживания, сельскохозяйственного использования, занятых жилищным фондом и объектами инженерной инфраструктуры жилищно-коммунального комплекса или предоставленных для жилищного строительства</w:t>
      </w:r>
      <w:proofErr w:type="gramEnd"/>
      <w:r w:rsidRPr="00A01A9C">
        <w:rPr>
          <w:rFonts w:eastAsia="Calibri"/>
          <w:sz w:val="28"/>
          <w:szCs w:val="28"/>
          <w:lang w:eastAsia="en-US"/>
        </w:rPr>
        <w:t>,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ED2EF3" w:rsidRPr="00A01A9C" w:rsidRDefault="00ED2EF3" w:rsidP="00ED2E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A9C">
        <w:rPr>
          <w:rFonts w:eastAsia="Calibri"/>
          <w:sz w:val="28"/>
          <w:szCs w:val="28"/>
          <w:lang w:eastAsia="en-US"/>
        </w:rPr>
        <w:t>Также 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ED2EF3" w:rsidRPr="00A01A9C" w:rsidRDefault="00ED2EF3" w:rsidP="00ED2E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A9C">
        <w:rPr>
          <w:rFonts w:eastAsia="Calibr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ED2EF3" w:rsidRPr="00A01A9C" w:rsidRDefault="00ED2EF3" w:rsidP="00ED2E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A9C">
        <w:rPr>
          <w:rFonts w:eastAsia="Calibri"/>
          <w:sz w:val="28"/>
          <w:szCs w:val="28"/>
          <w:lang w:eastAsia="en-US"/>
        </w:rPr>
        <w:lastRenderedPageBreak/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ED2EF3" w:rsidRPr="007C587A" w:rsidRDefault="00ED2EF3" w:rsidP="00ED2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2EF3" w:rsidRPr="007C587A" w:rsidRDefault="00ED2EF3" w:rsidP="00ED2EF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Основные направления бюджетной политики</w:t>
      </w:r>
    </w:p>
    <w:p w:rsidR="00ED2EF3" w:rsidRPr="007C587A" w:rsidRDefault="00ED2EF3" w:rsidP="00ED2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2EF3" w:rsidRPr="007C587A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 xml:space="preserve">Бюджетная политика </w:t>
      </w:r>
      <w:r w:rsidRPr="00F77443">
        <w:rPr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Смоленской </w:t>
      </w:r>
      <w:r w:rsidRPr="00144FDD">
        <w:rPr>
          <w:color w:val="000000" w:themeColor="text1"/>
          <w:sz w:val="28"/>
          <w:szCs w:val="28"/>
        </w:rPr>
        <w:t>области</w:t>
      </w:r>
      <w:r w:rsidRPr="007C587A">
        <w:rPr>
          <w:sz w:val="28"/>
          <w:szCs w:val="28"/>
        </w:rPr>
        <w:t xml:space="preserve"> определяет основные ориентиры и стратегические цели развития </w:t>
      </w:r>
      <w:r w:rsidRPr="00F77443">
        <w:rPr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Смоленской </w:t>
      </w:r>
      <w:r w:rsidRPr="00144FDD">
        <w:rPr>
          <w:color w:val="000000" w:themeColor="text1"/>
          <w:sz w:val="28"/>
          <w:szCs w:val="28"/>
        </w:rPr>
        <w:t>области</w:t>
      </w:r>
      <w:r w:rsidRPr="007C587A">
        <w:rPr>
          <w:sz w:val="28"/>
          <w:szCs w:val="28"/>
        </w:rPr>
        <w:t xml:space="preserve"> на трехлетний период. </w:t>
      </w:r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587A">
        <w:rPr>
          <w:rFonts w:eastAsia="Calibri"/>
          <w:sz w:val="28"/>
          <w:szCs w:val="28"/>
          <w:lang w:eastAsia="en-US"/>
        </w:rPr>
        <w:t xml:space="preserve">Основными целями бюджетной политики </w:t>
      </w:r>
      <w:r w:rsidRPr="00F77443">
        <w:rPr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Смоленской </w:t>
      </w:r>
      <w:r w:rsidRPr="00144FDD">
        <w:rPr>
          <w:color w:val="000000" w:themeColor="text1"/>
          <w:sz w:val="28"/>
          <w:szCs w:val="28"/>
        </w:rPr>
        <w:t>области</w:t>
      </w:r>
      <w:r w:rsidRPr="007C587A">
        <w:rPr>
          <w:rFonts w:eastAsia="Calibri"/>
          <w:sz w:val="28"/>
          <w:szCs w:val="28"/>
          <w:lang w:eastAsia="en-US"/>
        </w:rPr>
        <w:t xml:space="preserve"> на</w:t>
      </w:r>
      <w:r w:rsidRPr="007C587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587A">
        <w:rPr>
          <w:rFonts w:eastAsia="Calibri"/>
          <w:sz w:val="28"/>
          <w:szCs w:val="28"/>
          <w:lang w:eastAsia="en-US"/>
        </w:rPr>
        <w:t xml:space="preserve"> 2018 год и на плановый период 2019 и 2020 годов являются обеспечение долгосрочной сбалансированности и финансовой устойчивости бюджетной системы </w:t>
      </w:r>
      <w:r w:rsidRPr="00F77443">
        <w:rPr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Смоленской </w:t>
      </w:r>
      <w:r w:rsidRPr="00144FDD">
        <w:rPr>
          <w:color w:val="000000" w:themeColor="text1"/>
          <w:sz w:val="28"/>
          <w:szCs w:val="28"/>
        </w:rPr>
        <w:t>области</w:t>
      </w:r>
      <w:r w:rsidRPr="007C587A">
        <w:rPr>
          <w:rFonts w:eastAsia="Calibri"/>
          <w:sz w:val="28"/>
          <w:szCs w:val="28"/>
          <w:lang w:eastAsia="en-US"/>
        </w:rPr>
        <w:t xml:space="preserve">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</w:t>
      </w:r>
      <w:r w:rsidRPr="00F77443">
        <w:rPr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Смоленской </w:t>
      </w:r>
      <w:r w:rsidRPr="00144FDD">
        <w:rPr>
          <w:color w:val="000000" w:themeColor="text1"/>
          <w:sz w:val="28"/>
          <w:szCs w:val="28"/>
        </w:rPr>
        <w:t>области</w:t>
      </w:r>
      <w:r w:rsidRPr="007C587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87A">
        <w:rPr>
          <w:rFonts w:eastAsia="Calibri"/>
          <w:sz w:val="28"/>
          <w:szCs w:val="28"/>
          <w:lang w:eastAsia="en-US"/>
        </w:rPr>
        <w:t xml:space="preserve">Основными задачами бюджетной политики </w:t>
      </w:r>
      <w:r w:rsidRPr="00F77443">
        <w:rPr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Смоленской </w:t>
      </w:r>
      <w:r w:rsidRPr="00144FDD">
        <w:rPr>
          <w:color w:val="000000" w:themeColor="text1"/>
          <w:sz w:val="28"/>
          <w:szCs w:val="28"/>
        </w:rPr>
        <w:t>области</w:t>
      </w:r>
      <w:r w:rsidRPr="007C587A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ED2EF3" w:rsidRPr="007C587A" w:rsidRDefault="00ED2EF3" w:rsidP="00ED2EF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бездефицитного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7C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</w:t>
      </w:r>
      <w:proofErr w:type="gramStart"/>
      <w:r w:rsidRPr="007C587A">
        <w:rPr>
          <w:rFonts w:ascii="Times New Roman" w:hAnsi="Times New Roman" w:cs="Times New Roman"/>
          <w:color w:val="000000" w:themeColor="text1"/>
          <w:sz w:val="28"/>
          <w:szCs w:val="28"/>
        </w:rPr>
        <w:t>с целю</w:t>
      </w:r>
      <w:proofErr w:type="gramEnd"/>
      <w:r w:rsidRPr="007C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снижения долговой нагрузки на </w:t>
      </w:r>
      <w:r w:rsidRPr="00F1645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бюджет; </w:t>
      </w:r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87A">
        <w:rPr>
          <w:rFonts w:eastAsia="Calibri"/>
          <w:sz w:val="28"/>
          <w:szCs w:val="28"/>
          <w:lang w:eastAsia="en-US"/>
        </w:rPr>
        <w:t>- формирование реального прогноза доходов, расходов и источников финансирования дефицита;</w:t>
      </w:r>
    </w:p>
    <w:p w:rsidR="00ED2EF3" w:rsidRPr="007C587A" w:rsidRDefault="00ED2EF3" w:rsidP="00ED2EF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соразмерность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7C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с поступающими доходами.</w:t>
      </w:r>
      <w:r w:rsidRPr="007C587A">
        <w:rPr>
          <w:sz w:val="28"/>
          <w:szCs w:val="28"/>
        </w:rPr>
        <w:t xml:space="preserve"> </w:t>
      </w:r>
      <w:r w:rsidRPr="007C587A">
        <w:rPr>
          <w:rFonts w:ascii="Times New Roman" w:hAnsi="Times New Roman" w:cs="Times New Roman"/>
          <w:sz w:val="28"/>
          <w:szCs w:val="28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ED2EF3" w:rsidRPr="007C587A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услуг;</w:t>
      </w:r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587A">
        <w:rPr>
          <w:rFonts w:eastAsia="Calibri" w:cs="Calibri"/>
          <w:spacing w:val="2"/>
          <w:sz w:val="28"/>
          <w:szCs w:val="28"/>
          <w:lang w:eastAsia="en-US"/>
        </w:rPr>
        <w:t>- обеспечение реализации приоритетных задач государственной политики, в том числе предусмотренных в у</w:t>
      </w:r>
      <w:r w:rsidRPr="007C587A">
        <w:rPr>
          <w:sz w:val="28"/>
          <w:szCs w:val="28"/>
        </w:rPr>
        <w:t>казах Президента Российской Федерации по достижению целевых показателей заработной платы от</w:t>
      </w:r>
      <w:r>
        <w:rPr>
          <w:sz w:val="28"/>
          <w:szCs w:val="28"/>
        </w:rPr>
        <w:t>д</w:t>
      </w:r>
      <w:r w:rsidRPr="007C587A">
        <w:rPr>
          <w:sz w:val="28"/>
          <w:szCs w:val="28"/>
        </w:rPr>
        <w:t>ельных категорий работников бюджетной сферы, индексация заработной платы работников бюджетного сектора экономики, на которых не распространяются указы Президента Российской Федерации на 4 процента, обеспечение месячной заработной платы работников бюджетной сферы на уровне не ниже минимального размера оплаты труда, установленного</w:t>
      </w:r>
      <w:proofErr w:type="gramEnd"/>
      <w:r w:rsidRPr="007C587A">
        <w:rPr>
          <w:sz w:val="28"/>
          <w:szCs w:val="28"/>
        </w:rPr>
        <w:t xml:space="preserve"> Федеральным законом «О минимальном </w:t>
      </w:r>
      <w:proofErr w:type="gramStart"/>
      <w:r w:rsidRPr="007C587A">
        <w:rPr>
          <w:sz w:val="28"/>
          <w:szCs w:val="28"/>
        </w:rPr>
        <w:t>размере оплаты труда</w:t>
      </w:r>
      <w:proofErr w:type="gramEnd"/>
      <w:r w:rsidRPr="007C587A">
        <w:rPr>
          <w:sz w:val="28"/>
          <w:szCs w:val="28"/>
        </w:rPr>
        <w:t>»;</w:t>
      </w:r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87A">
        <w:rPr>
          <w:rFonts w:eastAsia="Calibri"/>
          <w:sz w:val="28"/>
          <w:szCs w:val="28"/>
          <w:lang w:eastAsia="en-US"/>
        </w:rPr>
        <w:t>- сохранение всех социальных выплат;</w:t>
      </w:r>
    </w:p>
    <w:p w:rsidR="00ED2EF3" w:rsidRPr="007C587A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расходов, отмены расходных обязательств </w:t>
      </w:r>
      <w:r w:rsidRPr="00F77443">
        <w:rPr>
          <w:color w:val="000000" w:themeColor="text1"/>
          <w:sz w:val="28"/>
          <w:szCs w:val="28"/>
        </w:rPr>
        <w:lastRenderedPageBreak/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Смоленской </w:t>
      </w:r>
      <w:r w:rsidRPr="00144FDD">
        <w:rPr>
          <w:color w:val="000000" w:themeColor="text1"/>
          <w:sz w:val="28"/>
          <w:szCs w:val="28"/>
        </w:rPr>
        <w:t>области</w:t>
      </w:r>
      <w:r w:rsidRPr="007C587A">
        <w:rPr>
          <w:sz w:val="28"/>
          <w:szCs w:val="28"/>
        </w:rPr>
        <w:t xml:space="preserve">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7C587A">
        <w:rPr>
          <w:sz w:val="28"/>
          <w:szCs w:val="28"/>
        </w:rPr>
        <w:t>;</w:t>
      </w:r>
    </w:p>
    <w:p w:rsidR="00ED2EF3" w:rsidRPr="00F16455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55">
        <w:rPr>
          <w:sz w:val="28"/>
          <w:szCs w:val="28"/>
        </w:rPr>
        <w:t xml:space="preserve">- внедрение автоматизированной информационной системы в целях повышения прозрачности оценки выполнения </w:t>
      </w:r>
      <w:r>
        <w:rPr>
          <w:sz w:val="28"/>
          <w:szCs w:val="28"/>
        </w:rPr>
        <w:t xml:space="preserve">муниципального </w:t>
      </w:r>
      <w:r w:rsidRPr="00F16455">
        <w:rPr>
          <w:sz w:val="28"/>
          <w:szCs w:val="28"/>
        </w:rPr>
        <w:t>задания</w:t>
      </w:r>
      <w:r>
        <w:rPr>
          <w:sz w:val="28"/>
          <w:szCs w:val="28"/>
        </w:rPr>
        <w:t>,</w:t>
      </w:r>
      <w:r w:rsidRPr="00F16455">
        <w:rPr>
          <w:sz w:val="28"/>
          <w:szCs w:val="28"/>
        </w:rPr>
        <w:t xml:space="preserve">  оказания </w:t>
      </w:r>
      <w:r>
        <w:rPr>
          <w:sz w:val="28"/>
          <w:szCs w:val="28"/>
        </w:rPr>
        <w:t xml:space="preserve">муниципальных </w:t>
      </w:r>
      <w:r w:rsidRPr="00F16455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муниципальными</w:t>
      </w:r>
      <w:r w:rsidRPr="00F16455">
        <w:rPr>
          <w:sz w:val="28"/>
          <w:szCs w:val="28"/>
        </w:rPr>
        <w:t xml:space="preserve"> учреждениями;</w:t>
      </w:r>
    </w:p>
    <w:p w:rsidR="00ED2EF3" w:rsidRPr="007C587A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 xml:space="preserve">- повышение эффективности </w:t>
      </w:r>
      <w:r>
        <w:rPr>
          <w:sz w:val="28"/>
          <w:szCs w:val="28"/>
        </w:rPr>
        <w:t>муниципального</w:t>
      </w:r>
      <w:r w:rsidRPr="007C587A">
        <w:rPr>
          <w:sz w:val="28"/>
          <w:szCs w:val="28"/>
        </w:rPr>
        <w:t xml:space="preserve"> управления, в том числе за счет повышения качества финансового менеджмента в органах исполнительной власти и </w:t>
      </w:r>
      <w:r>
        <w:rPr>
          <w:sz w:val="28"/>
          <w:szCs w:val="28"/>
        </w:rPr>
        <w:t>муниципальных</w:t>
      </w:r>
      <w:r w:rsidRPr="007C587A">
        <w:rPr>
          <w:sz w:val="28"/>
          <w:szCs w:val="28"/>
        </w:rPr>
        <w:t xml:space="preserve"> учреждениях;</w:t>
      </w:r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87A">
        <w:rPr>
          <w:rFonts w:eastAsia="Calibri"/>
          <w:sz w:val="28"/>
          <w:szCs w:val="28"/>
          <w:lang w:eastAsia="en-US"/>
        </w:rPr>
        <w:t xml:space="preserve">- оптимизация бюджетных расходов путем установления моратория на увеличение численности работников </w:t>
      </w:r>
      <w:r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 w:rsidRPr="007C587A">
        <w:rPr>
          <w:rFonts w:eastAsia="Calibri"/>
          <w:sz w:val="28"/>
          <w:szCs w:val="28"/>
          <w:lang w:eastAsia="en-US"/>
        </w:rPr>
        <w:t xml:space="preserve"> и отдельных категорий работников бюджетной сферы; предоставление мер социальной поддержки исходя из критериев </w:t>
      </w:r>
      <w:proofErr w:type="spellStart"/>
      <w:r w:rsidRPr="007C587A">
        <w:rPr>
          <w:rFonts w:eastAsia="Calibri"/>
          <w:sz w:val="28"/>
          <w:szCs w:val="28"/>
          <w:lang w:eastAsia="en-US"/>
        </w:rPr>
        <w:t>адресности</w:t>
      </w:r>
      <w:proofErr w:type="spellEnd"/>
      <w:r w:rsidRPr="007C587A">
        <w:rPr>
          <w:rFonts w:eastAsia="Calibri"/>
          <w:sz w:val="28"/>
          <w:szCs w:val="28"/>
          <w:lang w:eastAsia="en-US"/>
        </w:rPr>
        <w:t>, нуждаемости и условия занятости получателей;</w:t>
      </w:r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87A">
        <w:rPr>
          <w:rFonts w:eastAsia="Calibri"/>
          <w:sz w:val="28"/>
          <w:szCs w:val="28"/>
          <w:lang w:eastAsia="en-US"/>
        </w:rPr>
        <w:t xml:space="preserve">- недопущение просроченной задолженности по бюджетным и долговым обязательствам </w:t>
      </w:r>
      <w:r w:rsidRPr="00F77443">
        <w:rPr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Смоленской </w:t>
      </w:r>
      <w:r w:rsidRPr="00144FDD">
        <w:rPr>
          <w:color w:val="000000" w:themeColor="text1"/>
          <w:sz w:val="28"/>
          <w:szCs w:val="28"/>
        </w:rPr>
        <w:t>области</w:t>
      </w:r>
      <w:r w:rsidRPr="007C587A">
        <w:rPr>
          <w:rFonts w:eastAsia="Calibri"/>
          <w:sz w:val="28"/>
          <w:szCs w:val="28"/>
          <w:lang w:eastAsia="en-US"/>
        </w:rPr>
        <w:t>;</w:t>
      </w:r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87A">
        <w:rPr>
          <w:rFonts w:eastAsia="Calibri"/>
          <w:sz w:val="28"/>
          <w:szCs w:val="28"/>
          <w:lang w:eastAsia="en-US"/>
        </w:rPr>
        <w:t xml:space="preserve">- совершенствование и повышение эффективности процедур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7C587A">
        <w:rPr>
          <w:rFonts w:eastAsia="Calibri"/>
          <w:sz w:val="28"/>
          <w:szCs w:val="28"/>
          <w:lang w:eastAsia="en-US"/>
        </w:rPr>
        <w:t xml:space="preserve"> закупок товаров, работ, услуг;</w:t>
      </w:r>
    </w:p>
    <w:p w:rsidR="00ED2EF3" w:rsidRPr="007C587A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ED2EF3" w:rsidRPr="007C587A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 xml:space="preserve">- реализация принципов открытости и прозрачности управления </w:t>
      </w:r>
      <w:r>
        <w:rPr>
          <w:sz w:val="28"/>
          <w:szCs w:val="28"/>
        </w:rPr>
        <w:t>муниципальными финансами</w:t>
      </w:r>
      <w:r w:rsidRPr="007C587A">
        <w:rPr>
          <w:sz w:val="28"/>
          <w:szCs w:val="28"/>
        </w:rPr>
        <w:t>, в том числе путем составления брошюры «Бюджет для граждан»;</w:t>
      </w:r>
    </w:p>
    <w:p w:rsidR="00ED2EF3" w:rsidRPr="007C587A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87A">
        <w:rPr>
          <w:rFonts w:eastAsia="Calibri"/>
          <w:sz w:val="28"/>
          <w:szCs w:val="28"/>
          <w:lang w:eastAsia="en-US"/>
        </w:rPr>
        <w:t xml:space="preserve">- выполнение плана мероприятий по росту доходов, оптимизации расходов и сокращению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Pr="007C587A">
        <w:rPr>
          <w:rFonts w:eastAsia="Calibri"/>
          <w:sz w:val="28"/>
          <w:szCs w:val="28"/>
          <w:lang w:eastAsia="en-US"/>
        </w:rPr>
        <w:t xml:space="preserve">ого долга в целях оздоровления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7C587A">
        <w:rPr>
          <w:rFonts w:eastAsia="Calibri"/>
          <w:sz w:val="28"/>
          <w:szCs w:val="28"/>
          <w:lang w:eastAsia="en-US"/>
        </w:rPr>
        <w:t xml:space="preserve">ных финансов </w:t>
      </w:r>
      <w:r w:rsidRPr="00F77443">
        <w:rPr>
          <w:color w:val="000000" w:themeColor="text1"/>
          <w:sz w:val="28"/>
          <w:szCs w:val="28"/>
        </w:rPr>
        <w:t>муниципального образования «Холм-Жирковский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 w:rsidRPr="007C587A">
        <w:rPr>
          <w:rFonts w:eastAsia="Calibri"/>
          <w:sz w:val="28"/>
          <w:szCs w:val="28"/>
          <w:lang w:eastAsia="en-US"/>
        </w:rPr>
        <w:t>Смоленской области на период до 2022 года;</w:t>
      </w:r>
    </w:p>
    <w:p w:rsidR="00ED2EF3" w:rsidRPr="00335914" w:rsidRDefault="00ED2EF3" w:rsidP="00E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914">
        <w:rPr>
          <w:sz w:val="28"/>
          <w:szCs w:val="28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</w:t>
      </w:r>
      <w:r>
        <w:rPr>
          <w:sz w:val="28"/>
          <w:szCs w:val="28"/>
        </w:rPr>
        <w:t>.</w:t>
      </w:r>
      <w:r w:rsidRPr="00335914">
        <w:rPr>
          <w:sz w:val="28"/>
          <w:szCs w:val="28"/>
        </w:rPr>
        <w:t xml:space="preserve"> Повышение качества управления муниципальными финансами;</w:t>
      </w:r>
    </w:p>
    <w:p w:rsidR="00ED2EF3" w:rsidRPr="003113D0" w:rsidRDefault="00ED2EF3" w:rsidP="00ED2E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13D0">
        <w:rPr>
          <w:rFonts w:eastAsia="Calibri"/>
          <w:sz w:val="28"/>
          <w:szCs w:val="28"/>
          <w:lang w:eastAsia="en-US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ED2EF3" w:rsidRPr="003113D0" w:rsidRDefault="00ED2EF3" w:rsidP="00ED2EF3">
      <w:pPr>
        <w:pStyle w:val="a9"/>
        <w:ind w:left="0" w:firstLine="709"/>
        <w:jc w:val="both"/>
        <w:rPr>
          <w:sz w:val="28"/>
          <w:szCs w:val="28"/>
        </w:rPr>
      </w:pPr>
    </w:p>
    <w:p w:rsidR="00FA173A" w:rsidRDefault="00FA173A" w:rsidP="00ED2EF3">
      <w:pPr>
        <w:tabs>
          <w:tab w:val="left" w:pos="980"/>
        </w:tabs>
        <w:ind w:right="302"/>
        <w:jc w:val="center"/>
        <w:rPr>
          <w:sz w:val="28"/>
          <w:szCs w:val="28"/>
        </w:rPr>
      </w:pPr>
    </w:p>
    <w:sectPr w:rsidR="00FA173A" w:rsidSect="00C3556D">
      <w:headerReference w:type="default" r:id="rId9"/>
      <w:pgSz w:w="11906" w:h="16838"/>
      <w:pgMar w:top="1134" w:right="567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74" w:rsidRDefault="00F62E74" w:rsidP="00FA44D6">
      <w:r>
        <w:separator/>
      </w:r>
    </w:p>
  </w:endnote>
  <w:endnote w:type="continuationSeparator" w:id="0">
    <w:p w:rsidR="00F62E74" w:rsidRDefault="00F62E74" w:rsidP="00FA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74" w:rsidRDefault="00F62E74" w:rsidP="00FA44D6">
      <w:r>
        <w:separator/>
      </w:r>
    </w:p>
  </w:footnote>
  <w:footnote w:type="continuationSeparator" w:id="0">
    <w:p w:rsidR="00F62E74" w:rsidRDefault="00F62E74" w:rsidP="00FA4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79" w:rsidRDefault="00363479">
    <w:pPr>
      <w:pStyle w:val="a7"/>
      <w:jc w:val="center"/>
    </w:pPr>
  </w:p>
  <w:p w:rsidR="00363479" w:rsidRDefault="003634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05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35" w:hanging="360"/>
      </w:pPr>
    </w:lvl>
  </w:abstractNum>
  <w:abstractNum w:abstractNumId="6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49"/>
    <w:rsid w:val="00052E56"/>
    <w:rsid w:val="00066F94"/>
    <w:rsid w:val="00071914"/>
    <w:rsid w:val="000867FD"/>
    <w:rsid w:val="000F4C48"/>
    <w:rsid w:val="000F5D01"/>
    <w:rsid w:val="00136F12"/>
    <w:rsid w:val="00175FA9"/>
    <w:rsid w:val="00194434"/>
    <w:rsid w:val="001A2510"/>
    <w:rsid w:val="00236DEA"/>
    <w:rsid w:val="00245B49"/>
    <w:rsid w:val="00297FF4"/>
    <w:rsid w:val="002A7FAE"/>
    <w:rsid w:val="002B0033"/>
    <w:rsid w:val="002D1317"/>
    <w:rsid w:val="00363479"/>
    <w:rsid w:val="003D1877"/>
    <w:rsid w:val="003E7D21"/>
    <w:rsid w:val="00403482"/>
    <w:rsid w:val="00420CF3"/>
    <w:rsid w:val="004A7B32"/>
    <w:rsid w:val="004B41C0"/>
    <w:rsid w:val="004E37E1"/>
    <w:rsid w:val="00533D76"/>
    <w:rsid w:val="00570F9B"/>
    <w:rsid w:val="00586CA8"/>
    <w:rsid w:val="005A2447"/>
    <w:rsid w:val="005B4606"/>
    <w:rsid w:val="005D394A"/>
    <w:rsid w:val="005D6DBC"/>
    <w:rsid w:val="00642A36"/>
    <w:rsid w:val="00645FFA"/>
    <w:rsid w:val="0065151C"/>
    <w:rsid w:val="006619B9"/>
    <w:rsid w:val="006853EF"/>
    <w:rsid w:val="006A54DE"/>
    <w:rsid w:val="0070319A"/>
    <w:rsid w:val="00737FF3"/>
    <w:rsid w:val="0079557C"/>
    <w:rsid w:val="007B1828"/>
    <w:rsid w:val="007C5A7B"/>
    <w:rsid w:val="007F4A58"/>
    <w:rsid w:val="0084189C"/>
    <w:rsid w:val="00841B17"/>
    <w:rsid w:val="00851533"/>
    <w:rsid w:val="00971A0E"/>
    <w:rsid w:val="00982CA1"/>
    <w:rsid w:val="009E7227"/>
    <w:rsid w:val="00A30DAA"/>
    <w:rsid w:val="00AA72CD"/>
    <w:rsid w:val="00B121D2"/>
    <w:rsid w:val="00B1222F"/>
    <w:rsid w:val="00B534B7"/>
    <w:rsid w:val="00BA344E"/>
    <w:rsid w:val="00C3556D"/>
    <w:rsid w:val="00CF2C60"/>
    <w:rsid w:val="00D24D17"/>
    <w:rsid w:val="00D254A8"/>
    <w:rsid w:val="00D55430"/>
    <w:rsid w:val="00D764AC"/>
    <w:rsid w:val="00D93919"/>
    <w:rsid w:val="00DA69C1"/>
    <w:rsid w:val="00E049AE"/>
    <w:rsid w:val="00E7394E"/>
    <w:rsid w:val="00E760DE"/>
    <w:rsid w:val="00E93B45"/>
    <w:rsid w:val="00EA3EAD"/>
    <w:rsid w:val="00ED2EF3"/>
    <w:rsid w:val="00EF7F00"/>
    <w:rsid w:val="00F03F34"/>
    <w:rsid w:val="00F06EE7"/>
    <w:rsid w:val="00F60144"/>
    <w:rsid w:val="00F61220"/>
    <w:rsid w:val="00F62E74"/>
    <w:rsid w:val="00FA173A"/>
    <w:rsid w:val="00FA44D6"/>
    <w:rsid w:val="00FC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B4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64AC"/>
    <w:pPr>
      <w:keepNext/>
      <w:tabs>
        <w:tab w:val="num" w:pos="0"/>
      </w:tabs>
      <w:ind w:left="360" w:hanging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606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D764AC"/>
    <w:pPr>
      <w:keepNext/>
      <w:tabs>
        <w:tab w:val="num" w:pos="0"/>
      </w:tabs>
      <w:ind w:left="360" w:hanging="360"/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D764AC"/>
    <w:pPr>
      <w:keepNext/>
      <w:tabs>
        <w:tab w:val="num" w:pos="0"/>
      </w:tabs>
      <w:ind w:left="360" w:hanging="360"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4A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764A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D764AC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Body Text"/>
    <w:basedOn w:val="a"/>
    <w:link w:val="a4"/>
    <w:rsid w:val="00D764AC"/>
    <w:rPr>
      <w:sz w:val="28"/>
    </w:rPr>
  </w:style>
  <w:style w:type="character" w:customStyle="1" w:styleId="a4">
    <w:name w:val="Основной текст Знак"/>
    <w:basedOn w:val="a0"/>
    <w:link w:val="a3"/>
    <w:rsid w:val="00D764A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21"/>
    <w:basedOn w:val="a"/>
    <w:rsid w:val="00D764AC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D764AC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D764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64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D764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rsid w:val="00D76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4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B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B4606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a"/>
    <w:uiPriority w:val="34"/>
    <w:qFormat/>
    <w:rsid w:val="005B46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4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606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B46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46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Цветовое выделение"/>
    <w:uiPriority w:val="99"/>
    <w:rsid w:val="004A7B32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A7B32"/>
    <w:rPr>
      <w:rFonts w:cs="Times New Roman"/>
      <w:color w:val="106BBE"/>
    </w:rPr>
  </w:style>
  <w:style w:type="paragraph" w:customStyle="1" w:styleId="Style1">
    <w:name w:val="Style1"/>
    <w:basedOn w:val="a"/>
    <w:uiPriority w:val="99"/>
    <w:rsid w:val="004A7B32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16">
    <w:name w:val="Font Style16"/>
    <w:basedOn w:val="a0"/>
    <w:uiPriority w:val="99"/>
    <w:rsid w:val="004A7B32"/>
    <w:rPr>
      <w:rFonts w:ascii="Times New Roman" w:hAnsi="Times New Roman" w:cs="Times New Roman"/>
      <w:b/>
      <w:bCs/>
      <w:sz w:val="26"/>
      <w:szCs w:val="26"/>
    </w:rPr>
  </w:style>
  <w:style w:type="table" w:styleId="af1">
    <w:name w:val="Table Grid"/>
    <w:basedOn w:val="a1"/>
    <w:uiPriority w:val="59"/>
    <w:rsid w:val="004A7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9"/>
    <w:uiPriority w:val="34"/>
    <w:locked/>
    <w:rsid w:val="00ED2E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ED2EF3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45B5-30CA-425B-B339-3A275F8B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f_stm</cp:lastModifiedBy>
  <cp:revision>8</cp:revision>
  <cp:lastPrinted>2017-11-16T12:34:00Z</cp:lastPrinted>
  <dcterms:created xsi:type="dcterms:W3CDTF">2017-11-14T13:59:00Z</dcterms:created>
  <dcterms:modified xsi:type="dcterms:W3CDTF">2017-12-05T08:25:00Z</dcterms:modified>
</cp:coreProperties>
</file>