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7F0935">
        <w:rPr>
          <w:rFonts w:ascii="Times New Roman" w:hAnsi="Times New Roman" w:cs="Times New Roman"/>
          <w:sz w:val="28"/>
          <w:szCs w:val="28"/>
        </w:rPr>
        <w:t xml:space="preserve"> 26</w:t>
      </w:r>
      <w:r w:rsidR="009D037D">
        <w:rPr>
          <w:rFonts w:ascii="Times New Roman" w:hAnsi="Times New Roman" w:cs="Times New Roman"/>
          <w:sz w:val="28"/>
          <w:szCs w:val="28"/>
        </w:rPr>
        <w:t>.02.2024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7F0935">
        <w:rPr>
          <w:rFonts w:ascii="Times New Roman" w:hAnsi="Times New Roman" w:cs="Times New Roman"/>
          <w:sz w:val="28"/>
          <w:szCs w:val="28"/>
        </w:rPr>
        <w:t xml:space="preserve"> 167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олм-Жирковский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Холм-Жирковское городское поселение, пгт. Холм-Жирковский, ул. Строителей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F0935">
        <w:rPr>
          <w:rFonts w:ascii="Times New Roman" w:eastAsia="Times New Roman" w:hAnsi="Times New Roman" w:cs="Times New Roman"/>
          <w:sz w:val="28"/>
        </w:rPr>
        <w:t>01.03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7F0935">
        <w:rPr>
          <w:rFonts w:ascii="Times New Roman" w:eastAsia="Times New Roman" w:hAnsi="Times New Roman" w:cs="Times New Roman"/>
          <w:sz w:val="28"/>
        </w:rPr>
        <w:t>30</w:t>
      </w:r>
      <w:r w:rsidR="009D037D">
        <w:rPr>
          <w:rFonts w:ascii="Times New Roman" w:eastAsia="Times New Roman" w:hAnsi="Times New Roman" w:cs="Times New Roman"/>
          <w:sz w:val="28"/>
        </w:rPr>
        <w:t>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935">
        <w:rPr>
          <w:rFonts w:ascii="Times New Roman" w:eastAsia="Times New Roman" w:hAnsi="Times New Roman" w:cs="Times New Roman"/>
          <w:sz w:val="28"/>
          <w:szCs w:val="28"/>
        </w:rPr>
        <w:t>01.04</w:t>
      </w:r>
      <w:r w:rsidR="009D037D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093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AA35CB">
        <w:rPr>
          <w:rFonts w:ascii="Times New Roman" w:eastAsia="Times New Roman" w:hAnsi="Times New Roman" w:cs="Times New Roman"/>
          <w:sz w:val="28"/>
        </w:rPr>
        <w:t>04.04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="00AA35CB">
        <w:rPr>
          <w:rFonts w:ascii="Times New Roman" w:eastAsia="Times New Roman" w:hAnsi="Times New Roman" w:cs="Times New Roman"/>
          <w:sz w:val="28"/>
        </w:rPr>
        <w:t xml:space="preserve"> года в 14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который не разграничена,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0010218:270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D55E3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олм-Жирковский район, Холм-Жирковское городское поселение, пгт. Холм-Жирковский, ул. Строителей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5D55E3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D55E3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5D55E3" w:rsidRPr="005D55E3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</w:t>
      </w:r>
      <w:r w:rsidR="005D55E3">
        <w:rPr>
          <w:rFonts w:ascii="Times New Roman" w:hAnsi="Times New Roman" w:cs="Times New Roman"/>
          <w:sz w:val="28"/>
          <w:szCs w:val="28"/>
        </w:rPr>
        <w:t xml:space="preserve">е статьей 56 Земельного кодекса </w:t>
      </w:r>
      <w:r w:rsidR="005D55E3" w:rsidRPr="005D55E3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для внесения в государственный кадастр недвижимости сведения об установлении или изменении территориальной зоны или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5D55E3" w:rsidRPr="005D55E3">
        <w:rPr>
          <w:rFonts w:ascii="Times New Roman" w:hAnsi="Times New Roman" w:cs="Times New Roman"/>
          <w:sz w:val="28"/>
          <w:szCs w:val="28"/>
        </w:rPr>
        <w:lastRenderedPageBreak/>
        <w:t>воспроизводящий сведения, содержащиеся в решении об установлении или изменении границ зон с особыми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минеральных удобрений, накопителей промстоков, шламохранилищ и других объектов, обусловливающих опасность химического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 w:rsidR="005D55E3">
        <w:rPr>
          <w:rFonts w:ascii="Times New Roman" w:hAnsi="Times New Roman" w:cs="Times New Roman"/>
          <w:sz w:val="28"/>
          <w:szCs w:val="28"/>
        </w:rPr>
        <w:t xml:space="preserve"> </w:t>
      </w:r>
      <w:r w:rsidR="005D55E3" w:rsidRPr="005D55E3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E5" w:rsidRDefault="008F63E5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D55E3">
        <w:rPr>
          <w:rFonts w:ascii="Times New Roman" w:hAnsi="Times New Roman" w:cs="Times New Roman"/>
          <w:sz w:val="28"/>
          <w:szCs w:val="28"/>
        </w:rPr>
        <w:t>ок аренды земельного участка: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5E3" w:rsidRPr="008F63E5" w:rsidRDefault="005D55E3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73" w:rsidRPr="00531A73" w:rsidRDefault="00834D98" w:rsidP="005D55E3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5D55E3">
        <w:rPr>
          <w:sz w:val="28"/>
        </w:rPr>
        <w:t>оценке от 08</w:t>
      </w:r>
      <w:r w:rsidR="006732F0">
        <w:rPr>
          <w:sz w:val="28"/>
        </w:rPr>
        <w:t>.</w:t>
      </w:r>
      <w:r w:rsidR="005D55E3">
        <w:rPr>
          <w:sz w:val="28"/>
        </w:rPr>
        <w:t>12.2023 № 805-З-23 СМК АОК 04, выполненного ООО «Агентство оценки Ковалевой и Компании»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5D55E3">
        <w:rPr>
          <w:sz w:val="28"/>
          <w:szCs w:val="28"/>
        </w:rPr>
        <w:t>2 800 (две</w:t>
      </w:r>
      <w:r w:rsidR="00F77FC8">
        <w:rPr>
          <w:sz w:val="28"/>
          <w:szCs w:val="28"/>
        </w:rPr>
        <w:t xml:space="preserve"> тысяч</w:t>
      </w:r>
      <w:r w:rsidR="005D55E3">
        <w:rPr>
          <w:sz w:val="28"/>
          <w:szCs w:val="28"/>
        </w:rPr>
        <w:t xml:space="preserve">и </w:t>
      </w:r>
      <w:r w:rsidR="008F63E5">
        <w:rPr>
          <w:sz w:val="28"/>
          <w:szCs w:val="28"/>
        </w:rPr>
        <w:t>восемь</w:t>
      </w:r>
      <w:r w:rsidR="005D55E3">
        <w:rPr>
          <w:sz w:val="28"/>
          <w:szCs w:val="28"/>
        </w:rPr>
        <w:t>сот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5D55E3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8F63E5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560 (пятьсот шестьдесят</w:t>
      </w:r>
      <w:r w:rsidR="008F63E5" w:rsidRPr="008F63E5">
        <w:rPr>
          <w:rFonts w:ascii="Times New Roman" w:eastAsia="Times New Roman" w:hAnsi="Times New Roman" w:cs="Times New Roman"/>
          <w:sz w:val="28"/>
          <w:szCs w:val="20"/>
        </w:rPr>
        <w:t>) рублей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84 (восемьдесят четыре) рубля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06BA8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астройки земельного участка – 75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%, предельное количество эт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ажей - 1. Отступ: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от красной линии улиц - 5м, от г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раницы земельного участка - 3м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>Технические условия:</w:t>
      </w:r>
    </w:p>
    <w:p w:rsidR="001F27C3" w:rsidRDefault="00606BA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lastRenderedPageBreak/>
        <w:t>Водоснабжение: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06BA8">
        <w:rPr>
          <w:rFonts w:ascii="Times New Roman" w:eastAsia="Times New Roman" w:hAnsi="Times New Roman" w:cs="Times New Roman"/>
          <w:sz w:val="28"/>
          <w:szCs w:val="20"/>
        </w:rPr>
        <w:t>имеется, плата за подключение не определена.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В</w:t>
      </w:r>
      <w:r w:rsidR="001F27C3"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одоотведение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 w:rsidR="001F27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анализация – местный антисептик.</w:t>
      </w:r>
    </w:p>
    <w:p w:rsidR="009C315B" w:rsidRDefault="009C315B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2027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ких условий – до 30 января 2027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9D037D" w:rsidRDefault="007328D2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Электроснабжение: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кВ на карте доступны на сайте МРСК Центра 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/mrsk-1.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r w:rsidRPr="007328D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Размер платы на технологическое присоединение рассчитывается по тарифам, утвержденным Министерством </w:t>
      </w:r>
      <w:r w:rsidR="0061400F">
        <w:rPr>
          <w:rFonts w:ascii="Times New Roman" w:eastAsia="Times New Roman" w:hAnsi="Times New Roman" w:cs="Times New Roman"/>
          <w:sz w:val="28"/>
          <w:szCs w:val="20"/>
        </w:rPr>
        <w:t>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61400F" w:rsidRDefault="0061400F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 xml:space="preserve">средств 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>победителя</w:t>
      </w:r>
      <w:r w:rsidR="00D530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>аукциона.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06BA8" w:rsidRPr="00FE0EEF" w:rsidRDefault="00606BA8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9D037D">
      <w:pPr>
        <w:widowControl w:val="0"/>
        <w:tabs>
          <w:tab w:val="left" w:pos="1950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</w:t>
      </w:r>
      <w:r w:rsidR="00D5309B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с </w:t>
      </w:r>
      <w:r w:rsidR="00606BA8">
        <w:rPr>
          <w:rFonts w:ascii="Times New Roman" w:hAnsi="Times New Roman"/>
          <w:b/>
          <w:color w:val="000000"/>
          <w:spacing w:val="4"/>
          <w:sz w:val="28"/>
          <w:szCs w:val="28"/>
          <w:lang w:eastAsia="en-US"/>
        </w:rPr>
        <w:t>01</w:t>
      </w:r>
      <w:r w:rsidR="00606BA8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.03.2024 по 30</w:t>
      </w:r>
      <w:r w:rsidR="00D5309B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.03.2024 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9D037D">
      <w:pPr>
        <w:spacing w:after="0" w:line="259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9D037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FE632C" w:rsidP="009D0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3A1BA6" w:rsidRPr="00FE0EEF" w:rsidRDefault="0022447E" w:rsidP="00FE0EEF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9D037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lastRenderedPageBreak/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0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0"/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1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1"/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9D037D">
      <w:pPr>
        <w:widowControl w:val="0"/>
        <w:tabs>
          <w:tab w:val="left" w:pos="982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не поступило ни одного предложения о начальной цене размера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9D037D">
      <w:pPr>
        <w:widowControl w:val="0"/>
        <w:tabs>
          <w:tab w:val="left" w:pos="92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0C7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C07A14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C06319" w:rsidRPr="00C06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7132" w:rsidRDefault="000C7132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0C7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кв.м.,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 xml:space="preserve">6614001 ОТДЕЛЕНИЕ БАНКА РОССИИ//УФК по Смоленской области              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г. Смоленск, р/с 40101810200000010001, ОКТМО 66654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151, КБК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902 111 05013 </w:t>
      </w:r>
      <w:r w:rsidR="00C07A14" w:rsidRPr="00C07A14">
        <w:rPr>
          <w:rFonts w:ascii="Times New Roman" w:eastAsia="Times New Roman" w:hAnsi="Times New Roman" w:cs="Times New Roman"/>
          <w:sz w:val="28"/>
          <w:szCs w:val="32"/>
        </w:rPr>
        <w:t>13 0000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 w:rsidR="00C07A14">
        <w:rPr>
          <w:rFonts w:ascii="Times New Roman" w:eastAsia="Times New Roman" w:hAnsi="Times New Roman" w:cs="Times New Roman"/>
          <w:bCs/>
          <w:sz w:val="28"/>
          <w:szCs w:val="32"/>
        </w:rPr>
        <w:t>аницах городских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4.1.3.На возмещение убытков, причиненных ухудшением качества Участка и экологической обстановки в результате хозяйственной деятельности Арендатора, а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215650, РФ, Смоленская область, пгт. 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Холм-Жирковский, ул. Героя Соколова, д.8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0C7132" w:rsidRDefault="00C07A14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>ИНН 6719001156</w:t>
      </w:r>
      <w:r>
        <w:rPr>
          <w:rFonts w:ascii="Times New Roman" w:eastAsia="Times New Roman" w:hAnsi="Times New Roman" w:cs="Times New Roman"/>
          <w:sz w:val="28"/>
          <w:szCs w:val="28"/>
        </w:rPr>
        <w:t>, КПП 671901001, ОТДЕЛЕНИЕ СМОЛЕНСК БАНКА РОССИИ//УФК по Смоленской области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г. Смоленск, БИК 016614901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 66654151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902 111 050 13 13</w:t>
      </w:r>
      <w:r w:rsidR="00EA2D50" w:rsidRPr="000C7132">
        <w:rPr>
          <w:rFonts w:ascii="Times New Roman" w:eastAsia="Times New Roman" w:hAnsi="Times New Roman" w:cs="Times New Roman"/>
          <w:sz w:val="28"/>
          <w:szCs w:val="28"/>
        </w:rPr>
        <w:t xml:space="preserve"> 0000</w:t>
      </w:r>
      <w:r w:rsidR="001F5205" w:rsidRPr="000C7132">
        <w:rPr>
          <w:rFonts w:ascii="Times New Roman" w:eastAsia="Times New Roman" w:hAnsi="Times New Roman" w:cs="Times New Roman"/>
          <w:sz w:val="28"/>
          <w:szCs w:val="28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0C7132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Арендодатель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7A14" w:rsidRPr="00335698">
        <w:rPr>
          <w:rFonts w:ascii="Times New Roman" w:eastAsia="Times New Roman" w:hAnsi="Times New Roman" w:cs="Times New Roman"/>
          <w:sz w:val="28"/>
          <w:szCs w:val="28"/>
        </w:rPr>
        <w:t>Мартынова Надежда Николаевна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0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________________</w:t>
      </w: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«___» _____________________</w:t>
      </w:r>
    </w:p>
    <w:p w:rsidR="000C7132" w:rsidRDefault="000C7132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Арендатор</w:t>
      </w:r>
      <w:bookmarkEnd w:id="2"/>
      <w:r w:rsidRPr="001F5205">
        <w:rPr>
          <w:rFonts w:ascii="Times New Roman" w:eastAsia="Times New Roman" w:hAnsi="Times New Roman" w:cs="Times New Roman"/>
          <w:sz w:val="28"/>
          <w:szCs w:val="28"/>
        </w:rPr>
        <w:t>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C07A14" w:rsidRDefault="00C07A14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7A14" w:rsidRPr="00044AD9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A14" w:rsidRPr="009979F7" w:rsidRDefault="00C07A14" w:rsidP="00C0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«Арендодатель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одной стороны, и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A14" w:rsidRPr="009979F7" w:rsidRDefault="00C07A14" w:rsidP="00C07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(ая) в дальнейшем «Арендатор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другой стороны</w:t>
      </w:r>
      <w:r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Арендодатель передал, а Арендатор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и с настоящим Актом Арендодатель передал, а Арендатор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>
        <w:rPr>
          <w:rFonts w:ascii="Times New Roman" w:eastAsia="Times New Roman" w:hAnsi="Times New Roman" w:cs="Times New Roman"/>
          <w:sz w:val="24"/>
          <w:szCs w:val="28"/>
        </w:rPr>
        <w:t>твующим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 xml:space="preserve"> условиям договора аренды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A14" w:rsidRPr="00044AD9" w:rsidRDefault="00335698" w:rsidP="00C07A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07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  <w:r w:rsidR="00C07A1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07A14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7A14" w:rsidRPr="00044AD9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C07A14" w:rsidRPr="00044AD9" w:rsidRDefault="00C07A14" w:rsidP="00C07A14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1F5205" w:rsidRPr="00E40C96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Pr="001F5205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132" w:rsidRPr="001F5205" w:rsidSect="000C7132">
      <w:headerReference w:type="default" r:id="rId1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2C" w:rsidRDefault="00FE632C" w:rsidP="00252388">
      <w:pPr>
        <w:spacing w:after="0" w:line="240" w:lineRule="auto"/>
      </w:pPr>
      <w:r>
        <w:separator/>
      </w:r>
    </w:p>
  </w:endnote>
  <w:endnote w:type="continuationSeparator" w:id="0">
    <w:p w:rsidR="00FE632C" w:rsidRDefault="00FE632C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2C" w:rsidRDefault="00FE632C" w:rsidP="00252388">
      <w:pPr>
        <w:spacing w:after="0" w:line="240" w:lineRule="auto"/>
      </w:pPr>
      <w:r>
        <w:separator/>
      </w:r>
    </w:p>
  </w:footnote>
  <w:footnote w:type="continuationSeparator" w:id="0">
    <w:p w:rsidR="00FE632C" w:rsidRDefault="00FE632C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9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C7132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0166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698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67865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5E3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06BA8"/>
    <w:rsid w:val="0061186A"/>
    <w:rsid w:val="006123A2"/>
    <w:rsid w:val="0061400F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28D2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0935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28EC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37D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0791"/>
    <w:rsid w:val="00A91D01"/>
    <w:rsid w:val="00A95F5A"/>
    <w:rsid w:val="00A977BB"/>
    <w:rsid w:val="00A97D07"/>
    <w:rsid w:val="00AA2130"/>
    <w:rsid w:val="00AA2A5A"/>
    <w:rsid w:val="00AA35CB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2106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07A14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2B04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5309B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0C96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0EEF"/>
    <w:rsid w:val="00FE35B3"/>
    <w:rsid w:val="00FE544D"/>
    <w:rsid w:val="00FE632C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71DB-E6E1-4C90-91F0-9444AEA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44</cp:revision>
  <cp:lastPrinted>2024-02-21T09:41:00Z</cp:lastPrinted>
  <dcterms:created xsi:type="dcterms:W3CDTF">2023-06-26T12:38:00Z</dcterms:created>
  <dcterms:modified xsi:type="dcterms:W3CDTF">2024-02-29T12:08:00Z</dcterms:modified>
</cp:coreProperties>
</file>