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F8274B" w:rsidRDefault="005659F5" w:rsidP="00106FCC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по продаже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</w:p>
    <w:p w:rsidR="005659F5" w:rsidRDefault="0051676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7E3254">
        <w:rPr>
          <w:rFonts w:ascii="Times New Roman" w:hAnsi="Times New Roman" w:cs="Times New Roman"/>
          <w:sz w:val="28"/>
          <w:szCs w:val="28"/>
        </w:rPr>
        <w:t xml:space="preserve"> 20</w:t>
      </w:r>
      <w:r w:rsidR="006200F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7E3254">
        <w:rPr>
          <w:rFonts w:ascii="Times New Roman" w:hAnsi="Times New Roman" w:cs="Times New Roman"/>
          <w:sz w:val="28"/>
          <w:szCs w:val="28"/>
        </w:rPr>
        <w:t xml:space="preserve"> 578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О проведении аукциона по продаже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олм-Жирковский, 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 xml:space="preserve">городское поселение </w:t>
      </w:r>
      <w:r w:rsidR="00505EE6">
        <w:rPr>
          <w:rFonts w:ascii="Times New Roman" w:eastAsia="Times New Roman" w:hAnsi="Times New Roman" w:cs="Times New Roman"/>
          <w:sz w:val="28"/>
          <w:szCs w:val="20"/>
        </w:rPr>
        <w:t>Хол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>м-Жирковское, поселок городского типа Холм-Жирковский, улица Лесная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16722">
        <w:rPr>
          <w:rFonts w:ascii="Times New Roman" w:eastAsia="Times New Roman" w:hAnsi="Times New Roman" w:cs="Times New Roman"/>
          <w:sz w:val="28"/>
        </w:rPr>
        <w:t>02.11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FF2856">
        <w:rPr>
          <w:rFonts w:ascii="Times New Roman" w:eastAsia="Times New Roman" w:hAnsi="Times New Roman" w:cs="Times New Roman"/>
          <w:sz w:val="28"/>
        </w:rPr>
        <w:t>01.12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85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804335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FF2856">
        <w:rPr>
          <w:rFonts w:ascii="Times New Roman" w:eastAsia="Times New Roman" w:hAnsi="Times New Roman" w:cs="Times New Roman"/>
          <w:sz w:val="28"/>
        </w:rPr>
        <w:t>06</w:t>
      </w:r>
      <w:r w:rsidR="00804335">
        <w:rPr>
          <w:rFonts w:ascii="Times New Roman" w:eastAsia="Times New Roman" w:hAnsi="Times New Roman" w:cs="Times New Roman"/>
          <w:sz w:val="28"/>
        </w:rPr>
        <w:t>.12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EA42C2">
        <w:rPr>
          <w:rStyle w:val="0pt"/>
          <w:rFonts w:eastAsiaTheme="minorEastAsia"/>
          <w:b w:val="0"/>
          <w:sz w:val="28"/>
          <w:szCs w:val="28"/>
        </w:rPr>
        <w:t>продажа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A2652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юридическим лицам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515A92">
        <w:rPr>
          <w:rFonts w:ascii="Times New Roman" w:eastAsia="Times New Roman" w:hAnsi="Times New Roman" w:cs="Times New Roman"/>
          <w:sz w:val="28"/>
          <w:szCs w:val="28"/>
        </w:rPr>
        <w:t>0010222:145 площадью 200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51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515A92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515A92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>олм-Жирковский, городское поселение Холм-Жирковское, поселок городского типа Холм-Жирковский, улица Лесная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515A92">
        <w:rPr>
          <w:rFonts w:ascii="Times New Roman" w:eastAsia="Times New Roman" w:hAnsi="Times New Roman" w:cs="Times New Roman"/>
          <w:sz w:val="28"/>
          <w:szCs w:val="28"/>
        </w:rPr>
        <w:t>ведение огородничества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 w:rsidR="00515A92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515A92" w:rsidRDefault="00515A92" w:rsidP="00515A9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A92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документ, содержащий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Pr="00515A92">
        <w:rPr>
          <w:rFonts w:ascii="Times New Roman" w:hAnsi="Times New Roman" w:cs="Times New Roman"/>
          <w:sz w:val="28"/>
          <w:szCs w:val="28"/>
        </w:rPr>
        <w:lastRenderedPageBreak/>
        <w:t>в государственный кадастр недвижимости сведения об установлении или изменении территориальной зоны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территорий, либо об отмене установления такой зоны от 14.02.2022 № б/н;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документ, воспроизводящий сведения, содержащиеся в решении об установлении или изменении границ зон 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условиями использования территорий от 14.02.2022 № б/н; постановление от 14.03.2002 № 10 выдан: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государственный санитарный врач РФ; постановление от 28.01.2021 № 3 выдан: Главный государственный санитарный врач РФ;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приказ от 09.09.2021 № 0390/0103 выдан: Департамент Смоленской области по природным ресурсам и экологии;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ограничения (обременения): Режим использования территории в границах 3 пояса ЗСО источника питьевого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хозяйственно-бытового водоснабжения устанавливается согласно пунктам 3.2.2., 3.2.3. СанПиН 2.1.4.1110-02.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территории 3 пояса запрещается закачки отработанных вод в подземные горизонты, подземного складирования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отходов и разработка недр земли. Запрещается размещение складов горюче-смазочных материалов, ядохимикатов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минеральных удобрений, накопителей промстоков, шламохранилищ и других объектов, обусловливающих опасность химического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загрязнения подземных вод. Размещение таких объектов допускается в пределах третьего пояса ЗСО только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использовании защищенных подземных вод, при условии выполнения специальных мероприятий по защите водоносного горизонта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от загрязнения при наличии санитарно-эпидемиологического заключения центра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контроля.; Реестровый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номер границы: 67:23-6.344;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документу: Третий пояс зоны санитарной охраны проектируемого водозабора для питьевого и хозяйственно-бытового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водоснабжения населения, расположенного в пос. Холм-Жирковский Смоленской области; Тип зоны: Зона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92">
        <w:rPr>
          <w:rFonts w:ascii="Times New Roman" w:hAnsi="Times New Roman" w:cs="Times New Roman"/>
          <w:sz w:val="28"/>
          <w:szCs w:val="28"/>
        </w:rPr>
        <w:t>источников водоснабжения и водопроводов питьевого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A92" w:rsidRPr="00E557B0" w:rsidRDefault="00515A92" w:rsidP="00515A9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92" w:rsidRDefault="00834D98" w:rsidP="00804335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515A92">
        <w:rPr>
          <w:sz w:val="28"/>
        </w:rPr>
        <w:t>оценке от 05</w:t>
      </w:r>
      <w:r w:rsidR="006732F0">
        <w:rPr>
          <w:sz w:val="28"/>
        </w:rPr>
        <w:t>.</w:t>
      </w:r>
      <w:r w:rsidR="00515A92">
        <w:rPr>
          <w:sz w:val="28"/>
        </w:rPr>
        <w:t>10.2023 № 021023/287</w:t>
      </w:r>
      <w:r w:rsidR="002E0762">
        <w:rPr>
          <w:sz w:val="28"/>
        </w:rPr>
        <w:t>-06</w:t>
      </w:r>
      <w:r w:rsidR="00E557B0">
        <w:rPr>
          <w:sz w:val="28"/>
        </w:rPr>
        <w:t>, выполненного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515A92" w:rsidRPr="00515A92">
        <w:rPr>
          <w:sz w:val="28"/>
          <w:szCs w:val="28"/>
        </w:rPr>
        <w:t>9174 (девять тыс</w:t>
      </w:r>
      <w:r w:rsidR="00515A92">
        <w:rPr>
          <w:sz w:val="28"/>
          <w:szCs w:val="28"/>
        </w:rPr>
        <w:t>яч сто семьдесят четыре) рубля.</w:t>
      </w:r>
    </w:p>
    <w:p w:rsidR="000D6D11" w:rsidRDefault="004431E9" w:rsidP="00515A92">
      <w:pPr>
        <w:pStyle w:val="2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515A92" w:rsidRDefault="00834D98" w:rsidP="00515A92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от начальной</w:t>
      </w:r>
      <w:r w:rsidR="0022447E">
        <w:rPr>
          <w:sz w:val="28"/>
          <w:szCs w:val="28"/>
        </w:rPr>
        <w:t xml:space="preserve"> цены </w:t>
      </w:r>
      <w:r w:rsidR="0022447E" w:rsidRPr="0022447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5A92" w:rsidRPr="00515A92">
        <w:rPr>
          <w:rFonts w:ascii="Times New Roman" w:eastAsia="Times New Roman" w:hAnsi="Times New Roman" w:cs="Times New Roman"/>
          <w:sz w:val="28"/>
          <w:szCs w:val="20"/>
        </w:rPr>
        <w:t>1835 (одна тысяча восемьсот тридцать пять) рублей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2E0762">
      <w:pPr>
        <w:pStyle w:val="2"/>
        <w:ind w:firstLine="709"/>
        <w:contextualSpacing/>
        <w:jc w:val="both"/>
        <w:rPr>
          <w:sz w:val="28"/>
        </w:rPr>
      </w:pPr>
      <w:r w:rsidRPr="0022447E">
        <w:rPr>
          <w:b/>
          <w:color w:val="000000" w:themeColor="text1"/>
          <w:sz w:val="28"/>
          <w:szCs w:val="28"/>
        </w:rPr>
        <w:t>В</w:t>
      </w:r>
      <w:r w:rsidRPr="0022447E">
        <w:rPr>
          <w:b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</w:t>
      </w:r>
      <w:r w:rsidR="0022447E">
        <w:rPr>
          <w:sz w:val="28"/>
          <w:szCs w:val="28"/>
        </w:rPr>
        <w:t xml:space="preserve"> от начальной цены предмета аукциона</w:t>
      </w:r>
      <w:r w:rsidRPr="00D63522">
        <w:rPr>
          <w:sz w:val="28"/>
          <w:szCs w:val="28"/>
        </w:rPr>
        <w:t>):</w:t>
      </w:r>
      <w:r w:rsidRPr="00DA6F39">
        <w:rPr>
          <w:sz w:val="28"/>
          <w:szCs w:val="28"/>
        </w:rPr>
        <w:t xml:space="preserve"> </w:t>
      </w:r>
      <w:r w:rsidR="00515A92" w:rsidRPr="00515A92">
        <w:rPr>
          <w:sz w:val="28"/>
        </w:rPr>
        <w:t>275 рублей 22 копейки (двести семьдесят пять рублей 22 копейки)</w:t>
      </w:r>
      <w:r w:rsidR="00515A92">
        <w:rPr>
          <w:sz w:val="28"/>
        </w:rPr>
        <w:t>.</w:t>
      </w:r>
    </w:p>
    <w:p w:rsidR="00515A92" w:rsidRPr="002E0762" w:rsidRDefault="00515A92" w:rsidP="002E0762">
      <w:pPr>
        <w:pStyle w:val="2"/>
        <w:ind w:firstLine="709"/>
        <w:contextualSpacing/>
        <w:jc w:val="both"/>
        <w:rPr>
          <w:sz w:val="28"/>
          <w:szCs w:val="28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ацией, условиями договора купли-продажи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 условиях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 w:rsidR="00E1672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02</w:t>
      </w:r>
      <w:r w:rsidR="00E1672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.11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по </w:t>
      </w:r>
      <w:r w:rsidR="00FF285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01.12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3A1BA6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21162E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аукционе, проект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Регистрация претендента на электронной площадке осуществляется на срок,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C063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0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0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1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1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Заявитель обеспечивает поступление задатка на счет, открытый на электронной торговой площадке, не позднее даты рассмотрения заявок </w:t>
      </w: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участников (не позднее 23 часов 59 минут (время московское) даты рассмотрения заявок).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1924E0" w:rsidRPr="0022447E" w:rsidRDefault="001924E0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bookmarkStart w:id="2" w:name="_GoBack"/>
      <w:bookmarkEnd w:id="2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заключения договора купли-продажи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тронного аукциона договор купли-продажи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купли-продажи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участка, при этом договор купли-продажи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</w:p>
    <w:p w:rsidR="0022447E" w:rsidRPr="0022447E" w:rsidRDefault="00137592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заключения договора купли-продажи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2241E4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2. Проект договора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и акта приема-передачи</w:t>
      </w:r>
    </w:p>
    <w:p w:rsidR="0022447E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E4" w:rsidRPr="002241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    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lastRenderedPageBreak/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03E3F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ДОГОВОР КУПЛИ-ПРОДАЖИ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1, именуемое в дальнейшем «Продавец», с одной стороны, и ___________________________________________________________________,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«Покупатель», с другой стороны, заключили настоящий договор (далее Договор) о нижеследующем: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C06319" w:rsidRPr="00C06319" w:rsidRDefault="00C06319" w:rsidP="00C06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1.1.Продавец обязуется передать в собственность, а Покупатель принять и оплатить по цене и на условиях настоящего Договора земельный участок (далее Участок) из категории земель – _______________, с кадастровым номером________________, площадью ___________ кв. м., расположенный по адресу:___________________________, для целей: ___________________________.</w:t>
      </w: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2.ПЛАТА ПО ДОГОВОРУ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2.1.Цена Участка в соответствии с протоколом об итогах аукциона от ________ № ____ по продаже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_______________ рубля.</w:t>
      </w:r>
    </w:p>
    <w:p w:rsidR="00C06319" w:rsidRPr="00C06319" w:rsidRDefault="00C06319" w:rsidP="00C0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06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>Внесенный Покупателем задаток в размере 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засчитывается в оплату приобретаемого в собственность земельного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2.3.Покупатель обязуется оплатить в течение 5 (пяти) банковских дней с момента подписания настоящего Договора сумму в размере ______________рублей.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2.4.Регистрация права собственности на Участок производится после полной оплаты цены Участка.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2.5.Оплата производится в рублях. Средства перечисляются на счет: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пгт.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 902 114 060 13 13 0000 430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3.ОБРЕМЕНЕНИЕ УЧАСТКА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3.1.Земельный участок обременен _____________________________________.</w:t>
      </w: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4.1.Продавец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4.1.1.В течение 10 (десяти) дней с момента выполнения Покупателем обя</w:t>
      </w:r>
      <w:r>
        <w:rPr>
          <w:rFonts w:ascii="Times New Roman" w:eastAsia="Times New Roman" w:hAnsi="Times New Roman" w:cs="Times New Roman"/>
          <w:sz w:val="28"/>
          <w:szCs w:val="28"/>
        </w:rPr>
        <w:t>занности, предусмотренной п.2.3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передать Покупателю Участок на условиях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4.2.Покупатель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4.2.1.Оплатить цену Участка в сроки и в порядке, установленном разделом 2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4.2.2.Выполнять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надлежащего выполнения условий Договора и установленного порядка землепользования, в том числе обеспечивать доступ и проход на Участок их представителей.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4.2.4.Обеспечить государственную регистрацию Договора и право собственности на Участок.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4.3.Передача Участка производится по передаточному акту, подписанному Сторонами.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5.1.За нарушение срока внесения платежа, указанного п.2.3. Договора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 Пени перечисляются в порядке, предусмотренном в п.2.5.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5.2.В случае просрочки Покупателем платежа свыше 7 (семи) календарных дней по истечении срока,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ого в п.2.3 настоящего Договора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, Продавец в праве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>по своему выбору потребовать оплаты товара либо отказаться от исполнения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Отказ от исполнения Договора не освобождает Покупателя от уплаты неустойки, предусмотренной п. 5.1 Договора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5.3.Стороны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6.ОСОБЫЕ УСЛОВИЯ ДОГОВОРА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1.Изменение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 целевого назначения земель допускается в порядке, предусмотренном законодательством.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6.3.Договор составлен в трех экземплярах, имеющих одинаковую юридическую силу, первый экземпляр находится у Продавца, второй находится у Покупателя, третий - в Управлении федеральной регистрационной службы по Смоленской области.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6.4.Приложения к Договору являются его неотъемлемой частью.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6.5. Приложения к Договору: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передаточный акт земельного участка;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протокол об итогах аукциона по продаже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участка,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7.ЮРИДИЧЕСКИЕ АДРЕСА И РЕКВИЗИТЫ СТОРОН: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ПРОДАВЕЦ: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Холм-Жирк</w:t>
      </w:r>
      <w:r>
        <w:rPr>
          <w:rFonts w:ascii="Times New Roman" w:eastAsia="Times New Roman" w:hAnsi="Times New Roman" w:cs="Times New Roman"/>
          <w:sz w:val="28"/>
          <w:szCs w:val="28"/>
        </w:rPr>
        <w:t>овское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215650, РФ, Смоленская область, пгт. Холм-Жирковский, ул. Героя Соколова, д.8.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пгт.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БИК 016614901, р/с 03100643000000016300, кор/с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 902 114 060 13 13 0000 430.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ПОКУПАТЕЛЬ:__________________________________________________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Мартынова Надежда Николаевна                              _________________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«___»_______________________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Покупатель:__________________________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________________</w:t>
      </w:r>
    </w:p>
    <w:p w:rsidR="00C06319" w:rsidRPr="00C06319" w:rsidRDefault="00C06319" w:rsidP="00C063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«____»______________________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1E4" w:rsidRPr="009979F7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9979F7" w:rsidRPr="00044AD9" w:rsidRDefault="00044AD9" w:rsidP="000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9F7" w:rsidRPr="009979F7" w:rsidRDefault="00C06319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Холм-Жирковское городское поселение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«Продавец», с одной стороны, и _________________________________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79F7" w:rsidRPr="009979F7" w:rsidRDefault="009979F7" w:rsidP="00C063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(ая) в дальнейшем «Покупатель», с другой стороны</w:t>
      </w:r>
      <w:r w:rsidR="009979F7"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510729" w:rsidRPr="00510729" w:rsidRDefault="00044AD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Продавец передал, а Покупатель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и с настоящим Актом Продавец передал, а Покупатель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твующим условиям договора купли-продажи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9" w:rsidRPr="00044AD9" w:rsidRDefault="000E78FA" w:rsidP="00044A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ПРОДАВЕЦ:</w:t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="000E78FA"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044AD9" w:rsidRPr="00044AD9" w:rsidRDefault="00044AD9" w:rsidP="00044AD9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E78FA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44A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C55061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2E" w:rsidRDefault="0021162E" w:rsidP="00252388">
      <w:pPr>
        <w:spacing w:after="0" w:line="240" w:lineRule="auto"/>
      </w:pPr>
      <w:r>
        <w:separator/>
      </w:r>
    </w:p>
  </w:endnote>
  <w:endnote w:type="continuationSeparator" w:id="0">
    <w:p w:rsidR="0021162E" w:rsidRDefault="0021162E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2E" w:rsidRDefault="0021162E" w:rsidP="00252388">
      <w:pPr>
        <w:spacing w:after="0" w:line="240" w:lineRule="auto"/>
      </w:pPr>
      <w:r>
        <w:separator/>
      </w:r>
    </w:p>
  </w:footnote>
  <w:footnote w:type="continuationSeparator" w:id="0">
    <w:p w:rsidR="0021162E" w:rsidRDefault="0021162E" w:rsidP="00252388">
      <w:pPr>
        <w:spacing w:after="0" w:line="240" w:lineRule="auto"/>
      </w:pPr>
      <w:r>
        <w:continuationSeparator/>
      </w:r>
    </w:p>
  </w:footnote>
  <w:footnote w:id="1">
    <w:p w:rsidR="00C06319" w:rsidRPr="00F95B31" w:rsidRDefault="00C06319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C06319" w:rsidRPr="00F95B31" w:rsidRDefault="00C06319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C06319" w:rsidRPr="00364BEE" w:rsidRDefault="00C06319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9979F7" w:rsidRDefault="009979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4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79F7" w:rsidRDefault="0099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05C87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24E0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1162E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5A92"/>
    <w:rsid w:val="00516765"/>
    <w:rsid w:val="00517F80"/>
    <w:rsid w:val="00522278"/>
    <w:rsid w:val="0052336D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2318F"/>
    <w:rsid w:val="00723ACD"/>
    <w:rsid w:val="0072554D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772FB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E3254"/>
    <w:rsid w:val="007F73E9"/>
    <w:rsid w:val="0080069A"/>
    <w:rsid w:val="008014DE"/>
    <w:rsid w:val="00804335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CA3"/>
    <w:rsid w:val="009C663F"/>
    <w:rsid w:val="009C6D34"/>
    <w:rsid w:val="009C728D"/>
    <w:rsid w:val="009D0059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60219"/>
    <w:rsid w:val="00D62FF4"/>
    <w:rsid w:val="00D634FA"/>
    <w:rsid w:val="00D63F86"/>
    <w:rsid w:val="00D6558F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16722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2856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D749-6B24-4F87-ABEF-8A714538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34</cp:revision>
  <cp:lastPrinted>2023-11-01T13:17:00Z</cp:lastPrinted>
  <dcterms:created xsi:type="dcterms:W3CDTF">2023-06-26T12:38:00Z</dcterms:created>
  <dcterms:modified xsi:type="dcterms:W3CDTF">2023-11-01T13:17:00Z</dcterms:modified>
</cp:coreProperties>
</file>